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C9" w:rsidRDefault="007B5AC9" w:rsidP="007B5AC9">
      <w:pPr>
        <w:spacing w:after="120"/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OSSERVAZIONI E PROPOSTE DELLA 14</w:t>
      </w:r>
      <w:r>
        <w:rPr>
          <w:b/>
          <w:i/>
          <w:sz w:val="26"/>
          <w:szCs w:val="26"/>
          <w:vertAlign w:val="superscript"/>
        </w:rPr>
        <w:t>a</w:t>
      </w:r>
      <w:r>
        <w:rPr>
          <w:b/>
          <w:i/>
          <w:sz w:val="26"/>
          <w:szCs w:val="26"/>
        </w:rPr>
        <w:t xml:space="preserve"> COMMISSIONE PERMANENTE</w:t>
      </w:r>
    </w:p>
    <w:p w:rsidR="007B5AC9" w:rsidRDefault="007B5AC9" w:rsidP="007B5AC9">
      <w:pPr>
        <w:spacing w:after="60"/>
        <w:jc w:val="center"/>
        <w:outlineLvl w:val="0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(Politiche dell’Unione europea)</w:t>
      </w:r>
    </w:p>
    <w:p w:rsidR="007B5AC9" w:rsidRDefault="007B5AC9" w:rsidP="007B5AC9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</w:rPr>
        <w:t>Ai sensi dell’articolo 144, comma 1, del Regolamento</w:t>
      </w:r>
    </w:p>
    <w:p w:rsidR="007B5AC9" w:rsidRDefault="007B5AC9" w:rsidP="007B5AC9">
      <w:pPr>
        <w:jc w:val="center"/>
        <w:rPr>
          <w:sz w:val="26"/>
          <w:szCs w:val="26"/>
        </w:rPr>
      </w:pPr>
      <w:r>
        <w:rPr>
          <w:sz w:val="26"/>
          <w:szCs w:val="26"/>
        </w:rPr>
        <w:t>(Estensore: Emilio FLORIS)</w:t>
      </w:r>
    </w:p>
    <w:p w:rsidR="007B5AC9" w:rsidRDefault="007B5AC9" w:rsidP="007B5AC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Roma, </w:t>
      </w:r>
      <w:r w:rsidR="00F86BAD">
        <w:rPr>
          <w:sz w:val="26"/>
          <w:szCs w:val="26"/>
        </w:rPr>
        <w:t xml:space="preserve">18 </w:t>
      </w:r>
      <w:r>
        <w:rPr>
          <w:sz w:val="26"/>
          <w:szCs w:val="26"/>
        </w:rPr>
        <w:t xml:space="preserve">dicembre 2013 </w:t>
      </w:r>
    </w:p>
    <w:p w:rsidR="007B5AC9" w:rsidRPr="00AB70AB" w:rsidRDefault="007B5AC9" w:rsidP="007B5AC9">
      <w:pPr>
        <w:jc w:val="both"/>
        <w:rPr>
          <w:sz w:val="26"/>
          <w:szCs w:val="26"/>
          <w:u w:val="single"/>
        </w:rPr>
      </w:pPr>
      <w:r w:rsidRPr="00AB70AB">
        <w:rPr>
          <w:sz w:val="26"/>
          <w:szCs w:val="26"/>
          <w:u w:val="single"/>
        </w:rPr>
        <w:t>Osservazioni sugli atti:</w:t>
      </w:r>
    </w:p>
    <w:p w:rsidR="007B5AC9" w:rsidRPr="00AB70AB" w:rsidRDefault="007B5AC9" w:rsidP="007B5AC9">
      <w:pPr>
        <w:spacing w:after="60"/>
        <w:jc w:val="both"/>
        <w:rPr>
          <w:b/>
          <w:sz w:val="26"/>
          <w:szCs w:val="26"/>
        </w:rPr>
      </w:pPr>
      <w:r w:rsidRPr="00AB70AB">
        <w:rPr>
          <w:b/>
          <w:sz w:val="26"/>
          <w:szCs w:val="26"/>
        </w:rPr>
        <w:t>Proposta di regolamento del Parlamento europeo e del Consiglio che abroga il regolamento (CEE) n. 1192/69 del Consiglio relativo alle norme comuni per la normalizzazione dei conti delle aziende ferroviarie (COM(2013) 26);</w:t>
      </w:r>
    </w:p>
    <w:p w:rsidR="007B5AC9" w:rsidRPr="00AB70AB" w:rsidRDefault="007B5AC9" w:rsidP="007B5AC9">
      <w:pPr>
        <w:spacing w:after="60"/>
        <w:jc w:val="both"/>
        <w:rPr>
          <w:b/>
          <w:sz w:val="26"/>
          <w:szCs w:val="26"/>
        </w:rPr>
      </w:pPr>
      <w:r w:rsidRPr="00AB70AB">
        <w:rPr>
          <w:b/>
          <w:sz w:val="26"/>
          <w:szCs w:val="26"/>
        </w:rPr>
        <w:t>Proposta di regolamento del Parlamento europeo e del Consiglio relativo all'Agenzia dell'Unione europea per le ferrovie e che abroga il regolamento (CE) n. 881/2004 (COM(2013) 27);</w:t>
      </w:r>
    </w:p>
    <w:p w:rsidR="007B5AC9" w:rsidRPr="00AB70AB" w:rsidRDefault="007B5AC9" w:rsidP="007B5AC9">
      <w:pPr>
        <w:spacing w:after="60"/>
        <w:jc w:val="both"/>
        <w:rPr>
          <w:b/>
          <w:sz w:val="26"/>
          <w:szCs w:val="26"/>
        </w:rPr>
      </w:pPr>
      <w:r w:rsidRPr="00AB70AB">
        <w:rPr>
          <w:b/>
          <w:sz w:val="26"/>
          <w:szCs w:val="26"/>
        </w:rPr>
        <w:t>Proposta di regolamento del Parlamento europeo e del Consiglio che modifica il regolamento (CE) n. 1370/2007 per quanto riguarda l'apertura del mercato dei servizi di trasporto nazionale di passeggeri per ferrovia (COM(2013) 28);</w:t>
      </w:r>
    </w:p>
    <w:p w:rsidR="007B5AC9" w:rsidRPr="00AB70AB" w:rsidRDefault="007B5AC9" w:rsidP="007B5AC9">
      <w:pPr>
        <w:spacing w:after="60"/>
        <w:jc w:val="both"/>
        <w:rPr>
          <w:b/>
          <w:sz w:val="26"/>
          <w:szCs w:val="26"/>
        </w:rPr>
      </w:pPr>
      <w:r w:rsidRPr="00AB70AB">
        <w:rPr>
          <w:b/>
          <w:sz w:val="26"/>
          <w:szCs w:val="26"/>
        </w:rPr>
        <w:t>Proposta di direttiva del Parlamento europeo e del Consiglio che modifica la direttiva 2012/34/UE del Parlamento europeo e del Consiglio, del 21 novembre 2012, che istituisce uno spazio ferroviario europeo unico, per quanto riguarda l'apertura del mercato dei servizi di trasporto nazionale di passeggeri per ferrovia e la governance dell'infrastruttura ferroviaria (COM(2013) 29);</w:t>
      </w:r>
    </w:p>
    <w:p w:rsidR="007B5AC9" w:rsidRPr="00AB70AB" w:rsidRDefault="007B5AC9" w:rsidP="007B5AC9">
      <w:pPr>
        <w:spacing w:after="60"/>
        <w:jc w:val="both"/>
        <w:rPr>
          <w:b/>
          <w:sz w:val="26"/>
          <w:szCs w:val="26"/>
        </w:rPr>
      </w:pPr>
      <w:r w:rsidRPr="00AB70AB">
        <w:rPr>
          <w:b/>
          <w:sz w:val="26"/>
          <w:szCs w:val="26"/>
        </w:rPr>
        <w:t>Proposta di direttiva del Parlamento europeo e del Consiglio relativa all'interoperabilità del sistema ferroviario dell'Unione europea (COM(2013) 30)</w:t>
      </w:r>
      <w:r w:rsidR="00C31F09" w:rsidRPr="00AB70AB">
        <w:rPr>
          <w:b/>
          <w:sz w:val="26"/>
          <w:szCs w:val="26"/>
        </w:rPr>
        <w:t>;</w:t>
      </w:r>
    </w:p>
    <w:p w:rsidR="007B5AC9" w:rsidRPr="00AB70AB" w:rsidRDefault="007B5AC9" w:rsidP="007B5AC9">
      <w:pPr>
        <w:spacing w:after="60"/>
        <w:jc w:val="both"/>
        <w:rPr>
          <w:b/>
          <w:color w:val="000000"/>
          <w:sz w:val="26"/>
          <w:szCs w:val="26"/>
        </w:rPr>
      </w:pPr>
      <w:r w:rsidRPr="00AB70AB">
        <w:rPr>
          <w:b/>
          <w:sz w:val="26"/>
          <w:szCs w:val="26"/>
        </w:rPr>
        <w:t>Proposta di direttiva del Parlamento europeo e del Consiglio sulla sicurezza delle ferrovie (COM(2013) 31).</w:t>
      </w:r>
    </w:p>
    <w:p w:rsidR="007B5AC9" w:rsidRPr="00AB70AB" w:rsidRDefault="007B5AC9" w:rsidP="007B5AC9">
      <w:pPr>
        <w:spacing w:after="60"/>
        <w:jc w:val="both"/>
        <w:rPr>
          <w:color w:val="000000"/>
          <w:sz w:val="26"/>
          <w:szCs w:val="26"/>
        </w:rPr>
      </w:pPr>
    </w:p>
    <w:p w:rsidR="007B5AC9" w:rsidRPr="00AB70AB" w:rsidRDefault="007B5AC9" w:rsidP="007B5AC9">
      <w:pPr>
        <w:spacing w:after="60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 </w:t>
      </w:r>
      <w:r w:rsidRPr="00AB70AB">
        <w:rPr>
          <w:sz w:val="26"/>
          <w:szCs w:val="26"/>
        </w:rPr>
        <w:tab/>
        <w:t>La 14</w:t>
      </w:r>
      <w:r w:rsidRPr="00AB70AB">
        <w:rPr>
          <w:sz w:val="26"/>
          <w:szCs w:val="26"/>
          <w:vertAlign w:val="superscript"/>
        </w:rPr>
        <w:t>a</w:t>
      </w:r>
      <w:r w:rsidRPr="00AB70AB">
        <w:rPr>
          <w:sz w:val="26"/>
          <w:szCs w:val="26"/>
        </w:rPr>
        <w:t xml:space="preserve"> Commissione permanente, esaminati gli atti in titolo, </w:t>
      </w:r>
    </w:p>
    <w:p w:rsidR="00601E56" w:rsidRPr="00AB70AB" w:rsidRDefault="00601E56" w:rsidP="00601E56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considerato che dagli anni Novanta a oggi il mercato ferroviario dell'Unione europea ha subìto numerose modifiche, introdotte da </w:t>
      </w:r>
      <w:r w:rsidR="00DD13D2">
        <w:rPr>
          <w:sz w:val="26"/>
          <w:szCs w:val="26"/>
        </w:rPr>
        <w:t>"</w:t>
      </w:r>
      <w:r w:rsidRPr="00AB70AB">
        <w:rPr>
          <w:sz w:val="26"/>
          <w:szCs w:val="26"/>
        </w:rPr>
        <w:t>tre pacchetti ferroviari</w:t>
      </w:r>
      <w:r w:rsidR="00DD13D2">
        <w:rPr>
          <w:sz w:val="26"/>
          <w:szCs w:val="26"/>
        </w:rPr>
        <w:t>"</w:t>
      </w:r>
      <w:r w:rsidRPr="00AB70AB">
        <w:rPr>
          <w:sz w:val="26"/>
          <w:szCs w:val="26"/>
        </w:rPr>
        <w:t xml:space="preserve"> di norme legislative, e i relativi atti di accompagnamento, con l'intento di aprire i mercati nazionali e rendere le ferrovie più concorrenziali e interoperabili, mantenendo al contempo un elevato livello di sicurezza; </w:t>
      </w:r>
    </w:p>
    <w:p w:rsidR="007B5AC9" w:rsidRPr="00AB70AB" w:rsidRDefault="007B5AC9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considerato </w:t>
      </w:r>
      <w:r w:rsidR="00260DCD" w:rsidRPr="00AB70AB">
        <w:rPr>
          <w:sz w:val="26"/>
          <w:szCs w:val="26"/>
        </w:rPr>
        <w:t xml:space="preserve">il Libro bianco sui trasporti, "Tabella di marcia verso uno spazio unico europeo dei trasporti - Per una politica dei trasporti competitiva e sostenibile" (COM(2011) 144), </w:t>
      </w:r>
      <w:r w:rsidR="00601E56" w:rsidRPr="00AB70AB">
        <w:rPr>
          <w:sz w:val="26"/>
          <w:szCs w:val="26"/>
        </w:rPr>
        <w:t xml:space="preserve">adottato il 28 marzo 2011, in cui la </w:t>
      </w:r>
      <w:r w:rsidR="00260DCD" w:rsidRPr="00AB70AB">
        <w:rPr>
          <w:sz w:val="26"/>
          <w:szCs w:val="26"/>
        </w:rPr>
        <w:t xml:space="preserve">Commissione europea </w:t>
      </w:r>
      <w:r w:rsidR="00601E56" w:rsidRPr="00AB70AB">
        <w:rPr>
          <w:sz w:val="26"/>
          <w:szCs w:val="26"/>
        </w:rPr>
        <w:t xml:space="preserve">ha stabilito l'approccio </w:t>
      </w:r>
      <w:r w:rsidR="00260DCD" w:rsidRPr="00AB70AB">
        <w:rPr>
          <w:sz w:val="26"/>
          <w:szCs w:val="26"/>
        </w:rPr>
        <w:t>per garantire la competitività dei trasporti dell'Unione europea a lungo termine</w:t>
      </w:r>
      <w:r w:rsidR="002D6BB3" w:rsidRPr="00AB70AB">
        <w:rPr>
          <w:sz w:val="26"/>
          <w:szCs w:val="26"/>
        </w:rPr>
        <w:t>,</w:t>
      </w:r>
      <w:r w:rsidR="00260DCD" w:rsidRPr="00AB70AB">
        <w:rPr>
          <w:sz w:val="26"/>
          <w:szCs w:val="26"/>
        </w:rPr>
        <w:t xml:space="preserve"> </w:t>
      </w:r>
      <w:r w:rsidR="002D6BB3" w:rsidRPr="00AB70AB">
        <w:rPr>
          <w:sz w:val="26"/>
          <w:szCs w:val="26"/>
        </w:rPr>
        <w:t xml:space="preserve">illustrando </w:t>
      </w:r>
      <w:r w:rsidR="00260DCD" w:rsidRPr="00AB70AB">
        <w:rPr>
          <w:sz w:val="26"/>
          <w:szCs w:val="26"/>
        </w:rPr>
        <w:t>lo scenario per l'istituzione di uno spazio ferroviario europeo unico</w:t>
      </w:r>
      <w:r w:rsidRPr="00AB70AB">
        <w:rPr>
          <w:sz w:val="26"/>
          <w:szCs w:val="26"/>
        </w:rPr>
        <w:t>;</w:t>
      </w:r>
    </w:p>
    <w:p w:rsidR="007B5AC9" w:rsidRPr="00AB70AB" w:rsidRDefault="00B24989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valutato che</w:t>
      </w:r>
      <w:r w:rsidR="002062B3" w:rsidRPr="00AB70AB">
        <w:rPr>
          <w:sz w:val="26"/>
          <w:szCs w:val="26"/>
        </w:rPr>
        <w:t xml:space="preserve"> la quota modale del 6</w:t>
      </w:r>
      <w:r w:rsidR="005E1C84" w:rsidRPr="00AB70AB">
        <w:rPr>
          <w:sz w:val="26"/>
          <w:szCs w:val="26"/>
        </w:rPr>
        <w:t xml:space="preserve">% del trasporto su rotaia nell'Unione europea è rimasta pressoché invariata dal 2000 e </w:t>
      </w:r>
      <w:r w:rsidRPr="00AB70AB">
        <w:rPr>
          <w:sz w:val="26"/>
          <w:szCs w:val="26"/>
        </w:rPr>
        <w:t xml:space="preserve">che, come evidenziato </w:t>
      </w:r>
      <w:r w:rsidR="002062B3" w:rsidRPr="00AB70AB">
        <w:rPr>
          <w:sz w:val="26"/>
          <w:szCs w:val="26"/>
        </w:rPr>
        <w:t>ne</w:t>
      </w:r>
      <w:r w:rsidR="00A24236" w:rsidRPr="00AB70AB">
        <w:rPr>
          <w:sz w:val="26"/>
          <w:szCs w:val="26"/>
        </w:rPr>
        <w:t>l sondaggio</w:t>
      </w:r>
      <w:r w:rsidRPr="00AB70AB">
        <w:rPr>
          <w:sz w:val="26"/>
          <w:szCs w:val="26"/>
        </w:rPr>
        <w:t xml:space="preserve"> 2012 </w:t>
      </w:r>
      <w:r w:rsidR="00A24236" w:rsidRPr="00AB70AB">
        <w:rPr>
          <w:sz w:val="26"/>
          <w:szCs w:val="26"/>
        </w:rPr>
        <w:t>di Eurobarometro</w:t>
      </w:r>
      <w:r w:rsidR="00601E56" w:rsidRPr="00AB70AB">
        <w:rPr>
          <w:sz w:val="26"/>
          <w:szCs w:val="26"/>
        </w:rPr>
        <w:t>,</w:t>
      </w:r>
      <w:r w:rsidRPr="00AB70AB">
        <w:rPr>
          <w:sz w:val="26"/>
          <w:szCs w:val="26"/>
        </w:rPr>
        <w:t xml:space="preserve"> solo il 46% degli europei è soddisfatto del proprio sistema ferroviario nazionale e regionale</w:t>
      </w:r>
      <w:r w:rsidR="007B5AC9" w:rsidRPr="00AB70AB">
        <w:rPr>
          <w:sz w:val="26"/>
          <w:szCs w:val="26"/>
        </w:rPr>
        <w:t>;</w:t>
      </w:r>
    </w:p>
    <w:p w:rsidR="00D4731E" w:rsidRPr="00AB70AB" w:rsidRDefault="00D4731E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lastRenderedPageBreak/>
        <w:t>considerat</w:t>
      </w:r>
      <w:r w:rsidR="003A64A2" w:rsidRPr="00AB70AB">
        <w:rPr>
          <w:sz w:val="26"/>
          <w:szCs w:val="26"/>
        </w:rPr>
        <w:t>e</w:t>
      </w:r>
      <w:r w:rsidRPr="00AB70AB">
        <w:rPr>
          <w:sz w:val="26"/>
          <w:szCs w:val="26"/>
        </w:rPr>
        <w:t xml:space="preserve"> </w:t>
      </w:r>
      <w:r w:rsidR="002B4392" w:rsidRPr="00AB70AB">
        <w:rPr>
          <w:sz w:val="26"/>
          <w:szCs w:val="26"/>
        </w:rPr>
        <w:t>le diversità de</w:t>
      </w:r>
      <w:r w:rsidRPr="00AB70AB">
        <w:rPr>
          <w:sz w:val="26"/>
          <w:szCs w:val="26"/>
        </w:rPr>
        <w:t xml:space="preserve">i requisiti </w:t>
      </w:r>
      <w:r w:rsidR="002E7FE3" w:rsidRPr="00AB70AB">
        <w:rPr>
          <w:sz w:val="26"/>
          <w:szCs w:val="26"/>
        </w:rPr>
        <w:t xml:space="preserve">in materia di interoperabilità e sicurezza </w:t>
      </w:r>
      <w:r w:rsidR="002062B3" w:rsidRPr="00AB70AB">
        <w:rPr>
          <w:sz w:val="26"/>
          <w:szCs w:val="26"/>
        </w:rPr>
        <w:t>derivanti</w:t>
      </w:r>
      <w:r w:rsidR="002B4392" w:rsidRPr="00AB70AB">
        <w:rPr>
          <w:sz w:val="26"/>
          <w:szCs w:val="26"/>
        </w:rPr>
        <w:t xml:space="preserve"> d</w:t>
      </w:r>
      <w:r w:rsidR="002062B3" w:rsidRPr="00AB70AB">
        <w:rPr>
          <w:sz w:val="26"/>
          <w:szCs w:val="26"/>
        </w:rPr>
        <w:t>a</w:t>
      </w:r>
      <w:r w:rsidR="002B4392" w:rsidRPr="00AB70AB">
        <w:rPr>
          <w:sz w:val="26"/>
          <w:szCs w:val="26"/>
        </w:rPr>
        <w:t xml:space="preserve">lle barriere amministrative e tecniche che ancora </w:t>
      </w:r>
      <w:r w:rsidR="003A64A2" w:rsidRPr="00AB70AB">
        <w:rPr>
          <w:sz w:val="26"/>
          <w:szCs w:val="26"/>
        </w:rPr>
        <w:t xml:space="preserve">persistono </w:t>
      </w:r>
      <w:r w:rsidR="00296E66" w:rsidRPr="00AB70AB">
        <w:rPr>
          <w:sz w:val="26"/>
          <w:szCs w:val="26"/>
        </w:rPr>
        <w:t>nel mercato ferrov</w:t>
      </w:r>
      <w:r w:rsidR="002F66A2">
        <w:rPr>
          <w:sz w:val="26"/>
          <w:szCs w:val="26"/>
        </w:rPr>
        <w:t>i</w:t>
      </w:r>
      <w:r w:rsidR="00296E66" w:rsidRPr="00AB70AB">
        <w:rPr>
          <w:sz w:val="26"/>
          <w:szCs w:val="26"/>
        </w:rPr>
        <w:t>ario dell'Unione europea</w:t>
      </w:r>
      <w:r w:rsidR="003A64A2" w:rsidRPr="00AB70AB">
        <w:rPr>
          <w:sz w:val="26"/>
          <w:szCs w:val="26"/>
        </w:rPr>
        <w:t>;</w:t>
      </w:r>
    </w:p>
    <w:p w:rsidR="003A64A2" w:rsidRPr="00AB70AB" w:rsidRDefault="003A64A2" w:rsidP="007B5AC9">
      <w:pPr>
        <w:spacing w:after="120"/>
        <w:ind w:firstLine="708"/>
        <w:jc w:val="both"/>
        <w:rPr>
          <w:sz w:val="26"/>
          <w:szCs w:val="26"/>
          <w:vertAlign w:val="superscript"/>
        </w:rPr>
      </w:pPr>
      <w:r w:rsidRPr="00AB70AB">
        <w:rPr>
          <w:sz w:val="26"/>
          <w:szCs w:val="26"/>
        </w:rPr>
        <w:t>considerate, infine, le conclusioni del Consiglio europeo di gennaio 2012</w:t>
      </w:r>
      <w:r w:rsidR="002062B3" w:rsidRPr="00AB70AB">
        <w:rPr>
          <w:sz w:val="26"/>
          <w:szCs w:val="26"/>
        </w:rPr>
        <w:t>, in cui è stata</w:t>
      </w:r>
      <w:r w:rsidRPr="00AB70AB">
        <w:rPr>
          <w:sz w:val="26"/>
          <w:szCs w:val="26"/>
        </w:rPr>
        <w:t xml:space="preserve"> evidenziat</w:t>
      </w:r>
      <w:r w:rsidR="002062B3" w:rsidRPr="00AB70AB">
        <w:rPr>
          <w:sz w:val="26"/>
          <w:szCs w:val="26"/>
        </w:rPr>
        <w:t>a</w:t>
      </w:r>
      <w:r w:rsidRPr="00AB70AB">
        <w:rPr>
          <w:sz w:val="26"/>
          <w:szCs w:val="26"/>
        </w:rPr>
        <w:t xml:space="preserve"> l’importanza di liberare il potenziale di creazione di crescita di un mercato unico pienamente integrato, </w:t>
      </w:r>
      <w:r w:rsidR="002062B3" w:rsidRPr="00AB70AB">
        <w:rPr>
          <w:sz w:val="26"/>
          <w:szCs w:val="26"/>
        </w:rPr>
        <w:t xml:space="preserve">nonché </w:t>
      </w:r>
      <w:r w:rsidRPr="00AB70AB">
        <w:rPr>
          <w:sz w:val="26"/>
          <w:szCs w:val="26"/>
        </w:rPr>
        <w:t xml:space="preserve">la comunicazione </w:t>
      </w:r>
      <w:r w:rsidR="00257E63" w:rsidRPr="00AB70AB">
        <w:rPr>
          <w:sz w:val="26"/>
          <w:szCs w:val="26"/>
        </w:rPr>
        <w:t>della Commissione europea "</w:t>
      </w:r>
      <w:r w:rsidRPr="00AB70AB">
        <w:rPr>
          <w:sz w:val="26"/>
          <w:szCs w:val="26"/>
        </w:rPr>
        <w:t>Azione per la stabilità, la crescita e l’occupazione</w:t>
      </w:r>
      <w:r w:rsidR="00257E63" w:rsidRPr="00AB70AB">
        <w:rPr>
          <w:sz w:val="26"/>
          <w:szCs w:val="26"/>
        </w:rPr>
        <w:t>" (COM(2012) 299)</w:t>
      </w:r>
      <w:r w:rsidRPr="00AB70AB">
        <w:rPr>
          <w:sz w:val="26"/>
          <w:szCs w:val="26"/>
        </w:rPr>
        <w:t xml:space="preserve">, adottata il 30 maggio 2012, </w:t>
      </w:r>
      <w:r w:rsidR="00257E63" w:rsidRPr="00AB70AB">
        <w:rPr>
          <w:sz w:val="26"/>
          <w:szCs w:val="26"/>
        </w:rPr>
        <w:t>che ha posto</w:t>
      </w:r>
      <w:r w:rsidRPr="00AB70AB">
        <w:rPr>
          <w:sz w:val="26"/>
          <w:szCs w:val="26"/>
        </w:rPr>
        <w:t xml:space="preserve"> l’accento sull’esigenza di ridurre ulteriormente l’onere normativo e gli ostacoli all’ingresso nel settore ferroviario </w:t>
      </w:r>
      <w:r w:rsidR="002062B3" w:rsidRPr="00AB70AB">
        <w:rPr>
          <w:sz w:val="26"/>
          <w:szCs w:val="26"/>
        </w:rPr>
        <w:t>e ha formulato</w:t>
      </w:r>
      <w:r w:rsidRPr="00AB70AB">
        <w:rPr>
          <w:sz w:val="26"/>
          <w:szCs w:val="26"/>
        </w:rPr>
        <w:t xml:space="preserve"> raccomandazioni specifiche per paese</w:t>
      </w:r>
      <w:r w:rsidR="00257E63" w:rsidRPr="00AB70AB">
        <w:rPr>
          <w:sz w:val="26"/>
          <w:szCs w:val="26"/>
        </w:rPr>
        <w:t xml:space="preserve">, </w:t>
      </w:r>
      <w:r w:rsidR="002062B3" w:rsidRPr="00AB70AB">
        <w:rPr>
          <w:sz w:val="26"/>
          <w:szCs w:val="26"/>
        </w:rPr>
        <w:t xml:space="preserve">e </w:t>
      </w:r>
      <w:r w:rsidR="00257E63" w:rsidRPr="00AB70AB">
        <w:rPr>
          <w:sz w:val="26"/>
          <w:szCs w:val="26"/>
        </w:rPr>
        <w:t>la comunicazione della Commissione europea "Una governance migliore per il mercato unico" (COM(2012) 259), adottata</w:t>
      </w:r>
      <w:r w:rsidRPr="00AB70AB">
        <w:rPr>
          <w:sz w:val="26"/>
          <w:szCs w:val="26"/>
        </w:rPr>
        <w:t xml:space="preserve"> il 6 giugno 2012</w:t>
      </w:r>
      <w:r w:rsidR="00257E63" w:rsidRPr="00AB70AB">
        <w:rPr>
          <w:sz w:val="26"/>
          <w:szCs w:val="26"/>
        </w:rPr>
        <w:t>;</w:t>
      </w:r>
    </w:p>
    <w:p w:rsidR="00257E63" w:rsidRPr="00AB70AB" w:rsidRDefault="00257E63" w:rsidP="00257E63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tenuto conto delle consultazioni e delle valutazioni d'impatto effettuate dai Servizi della Commissione in merito agli sviluppi dello spazio ferroviario europeo unico;</w:t>
      </w:r>
    </w:p>
    <w:p w:rsidR="007B5AC9" w:rsidRPr="00AB70AB" w:rsidRDefault="007B5AC9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preso atto della Relazione sulla proposta </w:t>
      </w:r>
      <w:r w:rsidR="00257E63" w:rsidRPr="00AB70AB">
        <w:rPr>
          <w:sz w:val="26"/>
          <w:szCs w:val="26"/>
        </w:rPr>
        <w:t>di regolamento del Parlamento europeo e del Consiglio che abroga il regolamento (CEE) n. 1192/69 del Consiglio relativo alle norme comuni per la normalizzazione dei conti delle aziende ferroviarie (COM(2013) 26)</w:t>
      </w:r>
      <w:r w:rsidRPr="00AB70AB">
        <w:rPr>
          <w:sz w:val="26"/>
          <w:szCs w:val="26"/>
        </w:rPr>
        <w:t xml:space="preserve">, trasmessa dal Ministero </w:t>
      </w:r>
      <w:r w:rsidR="00257E63" w:rsidRPr="00AB70AB">
        <w:rPr>
          <w:sz w:val="26"/>
          <w:szCs w:val="26"/>
        </w:rPr>
        <w:t>delle Infrastrutture e dei Trasporti</w:t>
      </w:r>
      <w:r w:rsidRPr="00AB70AB">
        <w:rPr>
          <w:sz w:val="26"/>
          <w:szCs w:val="26"/>
        </w:rPr>
        <w:t>, ai sensi dell'art. 6, comma 4, della legge 24 dicembre 2012, n. 234</w:t>
      </w:r>
      <w:r w:rsidR="00257E63" w:rsidRPr="00AB70AB">
        <w:rPr>
          <w:sz w:val="26"/>
          <w:szCs w:val="26"/>
        </w:rPr>
        <w:t>;</w:t>
      </w:r>
    </w:p>
    <w:p w:rsidR="00257E63" w:rsidRDefault="00257E63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preso atto</w:t>
      </w:r>
      <w:r w:rsidR="002062B3" w:rsidRPr="00AB70AB">
        <w:rPr>
          <w:sz w:val="26"/>
          <w:szCs w:val="26"/>
        </w:rPr>
        <w:t xml:space="preserve"> </w:t>
      </w:r>
      <w:r w:rsidRPr="00AB70AB">
        <w:rPr>
          <w:sz w:val="26"/>
          <w:szCs w:val="26"/>
        </w:rPr>
        <w:t>della Relazione sulla proposta di direttiva del Parlamento europeo e del Consiglio sulla sicurezza delle ferrovie (COM(2013) 31), trasmessa dal Ministero delle Infrastrutture e dei Trasporti, ai sensi dell'art. 6, comma 4, della legge 24 dicembre 2012, n. 234</w:t>
      </w:r>
      <w:r w:rsidR="002F66A2">
        <w:rPr>
          <w:sz w:val="26"/>
          <w:szCs w:val="26"/>
        </w:rPr>
        <w:t>;</w:t>
      </w:r>
    </w:p>
    <w:p w:rsidR="002F66A2" w:rsidRPr="00AB70AB" w:rsidRDefault="002F66A2" w:rsidP="007B5AC9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tenuto infine conto che sono ancora pendenti i lavori sia in seno al Consiglio che al Parlamento europeo e che la Commissione europea, nel suo programma di lavoro per il 2014, ha inserito il quarto pacchetto ferroviario tra gli atti prioritari per l'adozione da parte del legislatore</w:t>
      </w:r>
      <w:r w:rsidR="00A552A1">
        <w:rPr>
          <w:sz w:val="26"/>
          <w:szCs w:val="26"/>
        </w:rPr>
        <w:t>,</w:t>
      </w:r>
    </w:p>
    <w:p w:rsidR="007B5AC9" w:rsidRPr="00AB70AB" w:rsidRDefault="007B5AC9" w:rsidP="007B5AC9">
      <w:pPr>
        <w:spacing w:after="120"/>
        <w:ind w:firstLine="720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formula, per quanto di competenza, osservazioni favorevoli</w:t>
      </w:r>
      <w:r w:rsidR="002062B3" w:rsidRPr="00AB70AB">
        <w:rPr>
          <w:sz w:val="26"/>
          <w:szCs w:val="26"/>
        </w:rPr>
        <w:t>,</w:t>
      </w:r>
      <w:r w:rsidRPr="00AB70AB">
        <w:rPr>
          <w:sz w:val="26"/>
          <w:szCs w:val="26"/>
        </w:rPr>
        <w:t xml:space="preserve"> con i seguenti rilievi:</w:t>
      </w:r>
    </w:p>
    <w:p w:rsidR="00A552A1" w:rsidRDefault="007B5AC9" w:rsidP="00A552A1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La base giuridica è correttamente individuata </w:t>
      </w:r>
      <w:r w:rsidR="00296E66" w:rsidRPr="00AB70AB">
        <w:rPr>
          <w:sz w:val="26"/>
          <w:szCs w:val="26"/>
        </w:rPr>
        <w:t>negli articoli 91, 109, 170 e 171</w:t>
      </w:r>
      <w:r w:rsidRPr="00AB70AB">
        <w:rPr>
          <w:sz w:val="26"/>
          <w:szCs w:val="26"/>
        </w:rPr>
        <w:t xml:space="preserve"> del Trattato sul funzionamento dell'Unione europea.</w:t>
      </w:r>
    </w:p>
    <w:p w:rsidR="00A552A1" w:rsidRDefault="00296E66" w:rsidP="00A552A1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Gli atti</w:t>
      </w:r>
      <w:r w:rsidR="007B5AC9" w:rsidRPr="00AB70AB">
        <w:rPr>
          <w:sz w:val="26"/>
          <w:szCs w:val="26"/>
        </w:rPr>
        <w:t xml:space="preserve"> </w:t>
      </w:r>
      <w:r w:rsidRPr="00AB70AB">
        <w:rPr>
          <w:sz w:val="26"/>
          <w:szCs w:val="26"/>
        </w:rPr>
        <w:t>sono</w:t>
      </w:r>
      <w:r w:rsidR="007B5AC9" w:rsidRPr="00AB70AB">
        <w:rPr>
          <w:sz w:val="26"/>
          <w:szCs w:val="26"/>
        </w:rPr>
        <w:t xml:space="preserve"> conform</w:t>
      </w:r>
      <w:r w:rsidRPr="00AB70AB">
        <w:rPr>
          <w:sz w:val="26"/>
          <w:szCs w:val="26"/>
        </w:rPr>
        <w:t>i</w:t>
      </w:r>
      <w:r w:rsidR="007B5AC9" w:rsidRPr="00AB70AB">
        <w:rPr>
          <w:sz w:val="26"/>
          <w:szCs w:val="26"/>
        </w:rPr>
        <w:t xml:space="preserve"> al principio di sussidiarietà. L</w:t>
      </w:r>
      <w:r w:rsidRPr="00AB70AB">
        <w:rPr>
          <w:sz w:val="26"/>
          <w:szCs w:val="26"/>
        </w:rPr>
        <w:t xml:space="preserve">e </w:t>
      </w:r>
      <w:r w:rsidR="007B5AC9" w:rsidRPr="00AB70AB">
        <w:rPr>
          <w:sz w:val="26"/>
          <w:szCs w:val="26"/>
        </w:rPr>
        <w:t>propost</w:t>
      </w:r>
      <w:r w:rsidRPr="00AB70AB">
        <w:rPr>
          <w:sz w:val="26"/>
          <w:szCs w:val="26"/>
        </w:rPr>
        <w:t>e</w:t>
      </w:r>
      <w:r w:rsidR="007B5AC9" w:rsidRPr="00AB70AB">
        <w:rPr>
          <w:sz w:val="26"/>
          <w:szCs w:val="26"/>
        </w:rPr>
        <w:t xml:space="preserve"> in oggetto </w:t>
      </w:r>
      <w:r w:rsidRPr="00AB70AB">
        <w:rPr>
          <w:sz w:val="26"/>
          <w:szCs w:val="26"/>
        </w:rPr>
        <w:t>mirano</w:t>
      </w:r>
      <w:r w:rsidR="002062B3" w:rsidRPr="00AB70AB">
        <w:rPr>
          <w:sz w:val="26"/>
          <w:szCs w:val="26"/>
        </w:rPr>
        <w:t>,</w:t>
      </w:r>
      <w:r w:rsidRPr="00AB70AB">
        <w:rPr>
          <w:sz w:val="26"/>
          <w:szCs w:val="26"/>
        </w:rPr>
        <w:t xml:space="preserve"> infatti</w:t>
      </w:r>
      <w:r w:rsidR="002062B3" w:rsidRPr="00AB70AB">
        <w:rPr>
          <w:sz w:val="26"/>
          <w:szCs w:val="26"/>
        </w:rPr>
        <w:t>,</w:t>
      </w:r>
      <w:r w:rsidRPr="00AB70AB">
        <w:rPr>
          <w:sz w:val="26"/>
          <w:szCs w:val="26"/>
        </w:rPr>
        <w:t xml:space="preserve"> a garantire un'attuazione coerente dell'</w:t>
      </w:r>
      <w:r w:rsidRPr="00AB70AB">
        <w:rPr>
          <w:i/>
          <w:sz w:val="26"/>
          <w:szCs w:val="26"/>
        </w:rPr>
        <w:t>acquis</w:t>
      </w:r>
      <w:r w:rsidRPr="00AB70AB">
        <w:rPr>
          <w:sz w:val="26"/>
          <w:szCs w:val="26"/>
        </w:rPr>
        <w:t xml:space="preserve"> dell'Unione nel settore ferroviario per arrivare alla creazione </w:t>
      </w:r>
      <w:r w:rsidR="00E827AF" w:rsidRPr="00AB70AB">
        <w:rPr>
          <w:sz w:val="26"/>
          <w:szCs w:val="26"/>
        </w:rPr>
        <w:t>di uno spazio ferroviario unico, obiettivo che gli interventi dei singoli Stati membri, da soli, non possono assicurare.</w:t>
      </w:r>
    </w:p>
    <w:p w:rsidR="00A552A1" w:rsidRDefault="007B5AC9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L</w:t>
      </w:r>
      <w:r w:rsidR="00E827AF" w:rsidRPr="00AB70AB">
        <w:rPr>
          <w:sz w:val="26"/>
          <w:szCs w:val="26"/>
        </w:rPr>
        <w:t>e</w:t>
      </w:r>
      <w:r w:rsidRPr="00AB70AB">
        <w:rPr>
          <w:sz w:val="26"/>
          <w:szCs w:val="26"/>
        </w:rPr>
        <w:t xml:space="preserve"> propost</w:t>
      </w:r>
      <w:r w:rsidR="00E827AF" w:rsidRPr="00AB70AB">
        <w:rPr>
          <w:sz w:val="26"/>
          <w:szCs w:val="26"/>
        </w:rPr>
        <w:t>e</w:t>
      </w:r>
      <w:r w:rsidRPr="00AB70AB">
        <w:rPr>
          <w:sz w:val="26"/>
          <w:szCs w:val="26"/>
        </w:rPr>
        <w:t xml:space="preserve"> </w:t>
      </w:r>
      <w:r w:rsidR="00E827AF" w:rsidRPr="00AB70AB">
        <w:rPr>
          <w:sz w:val="26"/>
          <w:szCs w:val="26"/>
        </w:rPr>
        <w:t>sono</w:t>
      </w:r>
      <w:r w:rsidRPr="00AB70AB">
        <w:rPr>
          <w:sz w:val="26"/>
          <w:szCs w:val="26"/>
        </w:rPr>
        <w:t xml:space="preserve"> </w:t>
      </w:r>
      <w:r w:rsidR="002062B3" w:rsidRPr="00AB70AB">
        <w:rPr>
          <w:sz w:val="26"/>
          <w:szCs w:val="26"/>
        </w:rPr>
        <w:t xml:space="preserve">inoltre </w:t>
      </w:r>
      <w:r w:rsidRPr="00AB70AB">
        <w:rPr>
          <w:sz w:val="26"/>
          <w:szCs w:val="26"/>
        </w:rPr>
        <w:t>conform</w:t>
      </w:r>
      <w:r w:rsidR="002062B3" w:rsidRPr="00AB70AB">
        <w:rPr>
          <w:sz w:val="26"/>
          <w:szCs w:val="26"/>
        </w:rPr>
        <w:t>i</w:t>
      </w:r>
      <w:r w:rsidRPr="00AB70AB">
        <w:rPr>
          <w:sz w:val="26"/>
          <w:szCs w:val="26"/>
        </w:rPr>
        <w:t xml:space="preserve"> al principio di proporzionalità poiché si limita</w:t>
      </w:r>
      <w:r w:rsidR="00E827AF" w:rsidRPr="00AB70AB">
        <w:rPr>
          <w:sz w:val="26"/>
          <w:szCs w:val="26"/>
        </w:rPr>
        <w:t>no</w:t>
      </w:r>
      <w:r w:rsidRPr="00AB70AB">
        <w:rPr>
          <w:sz w:val="26"/>
          <w:szCs w:val="26"/>
        </w:rPr>
        <w:t xml:space="preserve"> a quanto necessario per il conseguimento de</w:t>
      </w:r>
      <w:r w:rsidR="00E827AF" w:rsidRPr="00AB70AB">
        <w:rPr>
          <w:sz w:val="26"/>
          <w:szCs w:val="26"/>
        </w:rPr>
        <w:t>gli obiettivi</w:t>
      </w:r>
      <w:r w:rsidRPr="00AB70AB">
        <w:rPr>
          <w:sz w:val="26"/>
          <w:szCs w:val="26"/>
        </w:rPr>
        <w:t xml:space="preserve"> prefissat</w:t>
      </w:r>
      <w:r w:rsidR="00E827AF" w:rsidRPr="00AB70AB">
        <w:rPr>
          <w:sz w:val="26"/>
          <w:szCs w:val="26"/>
        </w:rPr>
        <w:t>i</w:t>
      </w:r>
      <w:r w:rsidRPr="00AB70AB">
        <w:rPr>
          <w:sz w:val="26"/>
          <w:szCs w:val="26"/>
        </w:rPr>
        <w:t xml:space="preserve">. </w:t>
      </w:r>
    </w:p>
    <w:p w:rsidR="00A552A1" w:rsidRDefault="00133E02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Si esprime ampio sostegno alle iniziative della Commissione europea, in merito alle quali si condividono </w:t>
      </w:r>
      <w:r w:rsidR="001F0D8F">
        <w:rPr>
          <w:sz w:val="26"/>
          <w:szCs w:val="26"/>
        </w:rPr>
        <w:t>impianto</w:t>
      </w:r>
      <w:r w:rsidRPr="00AB70AB">
        <w:rPr>
          <w:sz w:val="26"/>
          <w:szCs w:val="26"/>
        </w:rPr>
        <w:t xml:space="preserve"> e obiettivi. </w:t>
      </w:r>
    </w:p>
    <w:p w:rsidR="00A552A1" w:rsidRDefault="00133E02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Si ritiene</w:t>
      </w:r>
      <w:r w:rsidR="002062B3" w:rsidRPr="00AB70AB">
        <w:rPr>
          <w:sz w:val="26"/>
          <w:szCs w:val="26"/>
        </w:rPr>
        <w:t xml:space="preserve"> </w:t>
      </w:r>
      <w:r w:rsidRPr="00AB70AB">
        <w:rPr>
          <w:sz w:val="26"/>
          <w:szCs w:val="26"/>
        </w:rPr>
        <w:t>adeguata la previsione di un approccio integrato</w:t>
      </w:r>
      <w:r w:rsidR="000D7143" w:rsidRPr="00AB70AB">
        <w:rPr>
          <w:sz w:val="26"/>
          <w:szCs w:val="26"/>
        </w:rPr>
        <w:t>,</w:t>
      </w:r>
      <w:r w:rsidRPr="00AB70AB">
        <w:rPr>
          <w:sz w:val="26"/>
          <w:szCs w:val="26"/>
        </w:rPr>
        <w:t xml:space="preserve"> finalizzato alla creazione di condizioni che agevolino la crescita del traffico ferroviario complessivo e consent</w:t>
      </w:r>
      <w:r w:rsidR="000D7143" w:rsidRPr="00AB70AB">
        <w:rPr>
          <w:sz w:val="26"/>
          <w:szCs w:val="26"/>
        </w:rPr>
        <w:t>a</w:t>
      </w:r>
      <w:r w:rsidRPr="00AB70AB">
        <w:rPr>
          <w:sz w:val="26"/>
          <w:szCs w:val="26"/>
        </w:rPr>
        <w:t xml:space="preserve">no al </w:t>
      </w:r>
      <w:r w:rsidRPr="00AB70AB">
        <w:rPr>
          <w:sz w:val="26"/>
          <w:szCs w:val="26"/>
        </w:rPr>
        <w:lastRenderedPageBreak/>
        <w:t xml:space="preserve">settore ferroviario di sfruttare al meglio le proprie potenzialità migliorando i servizi e risultando </w:t>
      </w:r>
      <w:r w:rsidR="001F0D8F">
        <w:rPr>
          <w:sz w:val="26"/>
          <w:szCs w:val="26"/>
        </w:rPr>
        <w:t xml:space="preserve">in tal modo </w:t>
      </w:r>
      <w:r w:rsidRPr="00AB70AB">
        <w:rPr>
          <w:sz w:val="26"/>
          <w:szCs w:val="26"/>
        </w:rPr>
        <w:t>più affidabile ed efficiente.</w:t>
      </w:r>
    </w:p>
    <w:p w:rsidR="00707EBA" w:rsidRPr="00AB70AB" w:rsidRDefault="007B5AC9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In particolare, </w:t>
      </w:r>
      <w:r w:rsidR="002062B3" w:rsidRPr="00AB70AB">
        <w:rPr>
          <w:sz w:val="26"/>
          <w:szCs w:val="26"/>
        </w:rPr>
        <w:t xml:space="preserve">si condivide l'approccio intersettoriale adottato dalla Commissione europea </w:t>
      </w:r>
      <w:r w:rsidR="00E827AF" w:rsidRPr="00AB70AB">
        <w:rPr>
          <w:sz w:val="26"/>
          <w:szCs w:val="26"/>
        </w:rPr>
        <w:t xml:space="preserve">per quanto concerne </w:t>
      </w:r>
      <w:r w:rsidR="002501F4" w:rsidRPr="00AB70AB">
        <w:rPr>
          <w:sz w:val="26"/>
          <w:szCs w:val="26"/>
        </w:rPr>
        <w:t xml:space="preserve">la proposta di regolamento sull'Agenzia ferroviaria europea, la proposta di rifusione della direttiva 2004/49/CE relativa alla sicurezza delle ferrovie e la proposta di rifusione della direttiva 2008/57/CE (interoperabilità), che </w:t>
      </w:r>
      <w:r w:rsidR="001F0D8F">
        <w:rPr>
          <w:sz w:val="26"/>
          <w:szCs w:val="26"/>
        </w:rPr>
        <w:t>costituiscono</w:t>
      </w:r>
      <w:r w:rsidR="002501F4" w:rsidRPr="00AB70AB">
        <w:rPr>
          <w:sz w:val="26"/>
          <w:szCs w:val="26"/>
        </w:rPr>
        <w:t xml:space="preserve"> la parte </w:t>
      </w:r>
      <w:r w:rsidR="001F0D8F">
        <w:rPr>
          <w:sz w:val="26"/>
          <w:szCs w:val="26"/>
        </w:rPr>
        <w:t xml:space="preserve">più strettamente </w:t>
      </w:r>
      <w:r w:rsidR="002501F4" w:rsidRPr="00AB70AB">
        <w:rPr>
          <w:sz w:val="26"/>
          <w:szCs w:val="26"/>
        </w:rPr>
        <w:t xml:space="preserve">tecnica del quarto pacchetto ferroviario, </w:t>
      </w:r>
      <w:r w:rsidR="001F0D8F">
        <w:rPr>
          <w:sz w:val="26"/>
          <w:szCs w:val="26"/>
        </w:rPr>
        <w:t>finalizzata a</w:t>
      </w:r>
      <w:r w:rsidR="002501F4" w:rsidRPr="00AB70AB">
        <w:rPr>
          <w:sz w:val="26"/>
          <w:szCs w:val="26"/>
        </w:rPr>
        <w:t xml:space="preserve"> rimuovere i rimanenti ostacoli tecnici e</w:t>
      </w:r>
      <w:r w:rsidR="001F0D8F">
        <w:rPr>
          <w:sz w:val="26"/>
          <w:szCs w:val="26"/>
        </w:rPr>
        <w:t xml:space="preserve"> amministrativi</w:t>
      </w:r>
      <w:r w:rsidR="002501F4" w:rsidRPr="00AB70AB">
        <w:rPr>
          <w:sz w:val="26"/>
          <w:szCs w:val="26"/>
        </w:rPr>
        <w:t xml:space="preserve"> favorendo</w:t>
      </w:r>
      <w:r w:rsidR="001F0D8F">
        <w:rPr>
          <w:sz w:val="26"/>
          <w:szCs w:val="26"/>
        </w:rPr>
        <w:t xml:space="preserve"> </w:t>
      </w:r>
      <w:r w:rsidR="002501F4" w:rsidRPr="00AB70AB">
        <w:rPr>
          <w:sz w:val="26"/>
          <w:szCs w:val="26"/>
        </w:rPr>
        <w:t xml:space="preserve">il varo di norme più armonizzate. </w:t>
      </w:r>
    </w:p>
    <w:p w:rsidR="00E827AF" w:rsidRPr="00AB70AB" w:rsidRDefault="007A0EF9" w:rsidP="007B5AC9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Si esprime apprezzamento</w:t>
      </w:r>
      <w:r w:rsidR="00292332" w:rsidRPr="00AB70AB">
        <w:rPr>
          <w:sz w:val="26"/>
          <w:szCs w:val="26"/>
        </w:rPr>
        <w:t xml:space="preserve"> </w:t>
      </w:r>
      <w:r w:rsidRPr="00AB70AB">
        <w:rPr>
          <w:sz w:val="26"/>
          <w:szCs w:val="26"/>
        </w:rPr>
        <w:t xml:space="preserve">per l'obiettivo perseguito dalla Commissione europea di </w:t>
      </w:r>
      <w:r w:rsidR="00292332" w:rsidRPr="00AB70AB">
        <w:rPr>
          <w:sz w:val="26"/>
          <w:szCs w:val="26"/>
        </w:rPr>
        <w:t xml:space="preserve">pervenire alla definizione di un'unica certificazione </w:t>
      </w:r>
      <w:r w:rsidRPr="00AB70AB">
        <w:rPr>
          <w:sz w:val="26"/>
          <w:szCs w:val="26"/>
        </w:rPr>
        <w:t>relativa alla</w:t>
      </w:r>
      <w:r w:rsidR="00292332" w:rsidRPr="00AB70AB">
        <w:rPr>
          <w:sz w:val="26"/>
          <w:szCs w:val="26"/>
        </w:rPr>
        <w:t xml:space="preserve"> sicurezza e </w:t>
      </w:r>
      <w:r w:rsidRPr="00AB70AB">
        <w:rPr>
          <w:sz w:val="26"/>
          <w:szCs w:val="26"/>
        </w:rPr>
        <w:t>al</w:t>
      </w:r>
      <w:r w:rsidR="00292332" w:rsidRPr="00AB70AB">
        <w:rPr>
          <w:sz w:val="26"/>
          <w:szCs w:val="26"/>
        </w:rPr>
        <w:t>l'immissione sul mercato di veicoli</w:t>
      </w:r>
      <w:r w:rsidR="00707EBA" w:rsidRPr="00AB70AB">
        <w:rPr>
          <w:sz w:val="26"/>
          <w:szCs w:val="26"/>
        </w:rPr>
        <w:t>,</w:t>
      </w:r>
      <w:r w:rsidR="00292332" w:rsidRPr="00AB70AB">
        <w:rPr>
          <w:sz w:val="26"/>
          <w:szCs w:val="26"/>
        </w:rPr>
        <w:t xml:space="preserve"> sottosistemi controllo-</w:t>
      </w:r>
      <w:r w:rsidR="00133E02" w:rsidRPr="00AB70AB">
        <w:rPr>
          <w:sz w:val="26"/>
          <w:szCs w:val="26"/>
        </w:rPr>
        <w:t>comando e segnalamento di terra,</w:t>
      </w:r>
      <w:r w:rsidR="002501F4" w:rsidRPr="00AB70AB">
        <w:rPr>
          <w:sz w:val="26"/>
          <w:szCs w:val="26"/>
        </w:rPr>
        <w:t xml:space="preserve"> nonché </w:t>
      </w:r>
      <w:r w:rsidR="001F0D8F">
        <w:rPr>
          <w:sz w:val="26"/>
          <w:szCs w:val="26"/>
        </w:rPr>
        <w:t>a</w:t>
      </w:r>
      <w:r w:rsidR="002501F4" w:rsidRPr="00AB70AB">
        <w:rPr>
          <w:sz w:val="26"/>
          <w:szCs w:val="26"/>
        </w:rPr>
        <w:t>l rafforzamento del ruolo dell'Agenzia ferrovia europea</w:t>
      </w:r>
      <w:r w:rsidR="00AB70AB" w:rsidRPr="00AB70AB">
        <w:rPr>
          <w:sz w:val="26"/>
          <w:szCs w:val="26"/>
        </w:rPr>
        <w:t>, cui dovrebbero essere attribuite le competenze in merito al rilascio di tali autorizzazioni</w:t>
      </w:r>
      <w:r w:rsidR="00133E02" w:rsidRPr="00AB70AB">
        <w:rPr>
          <w:sz w:val="26"/>
          <w:szCs w:val="26"/>
        </w:rPr>
        <w:t>.</w:t>
      </w:r>
    </w:p>
    <w:p w:rsidR="00AB70AB" w:rsidRPr="00AB70AB" w:rsidRDefault="001F0D8F" w:rsidP="00AB70AB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Tuttavia, c</w:t>
      </w:r>
      <w:r w:rsidR="00AB70AB" w:rsidRPr="00AB70AB">
        <w:rPr>
          <w:sz w:val="26"/>
          <w:szCs w:val="26"/>
        </w:rPr>
        <w:t>on riguardo alle prospettive negoziali delle succitate proposte, r</w:t>
      </w:r>
      <w:r w:rsidR="00EE0DFA" w:rsidRPr="00AB70AB">
        <w:rPr>
          <w:sz w:val="26"/>
          <w:szCs w:val="26"/>
        </w:rPr>
        <w:t xml:space="preserve">ilevata allo stato attuale la persistenza di un'estrema eterogeneità di sistemi tecnologici e norme nazionali, </w:t>
      </w:r>
      <w:r w:rsidR="00AB70AB" w:rsidRPr="00AB70AB">
        <w:rPr>
          <w:sz w:val="26"/>
          <w:szCs w:val="26"/>
        </w:rPr>
        <w:t xml:space="preserve">e </w:t>
      </w:r>
      <w:r w:rsidR="008204FF" w:rsidRPr="00AB70AB">
        <w:rPr>
          <w:sz w:val="26"/>
          <w:szCs w:val="26"/>
        </w:rPr>
        <w:t>pur essendo</w:t>
      </w:r>
      <w:r w:rsidR="00707EBA" w:rsidRPr="00AB70AB">
        <w:rPr>
          <w:sz w:val="26"/>
          <w:szCs w:val="26"/>
        </w:rPr>
        <w:t xml:space="preserve"> gli obiettivi conformi agli impegni assunti dall'Unione europea, </w:t>
      </w:r>
      <w:r w:rsidR="008204FF" w:rsidRPr="00AB70AB">
        <w:rPr>
          <w:sz w:val="26"/>
          <w:szCs w:val="26"/>
        </w:rPr>
        <w:t xml:space="preserve">si ritiene </w:t>
      </w:r>
      <w:r w:rsidR="00EE0DFA" w:rsidRPr="00AB70AB">
        <w:rPr>
          <w:sz w:val="26"/>
          <w:szCs w:val="26"/>
        </w:rPr>
        <w:t xml:space="preserve">auspicabile </w:t>
      </w:r>
      <w:r>
        <w:rPr>
          <w:sz w:val="26"/>
          <w:szCs w:val="26"/>
        </w:rPr>
        <w:t>prevedere</w:t>
      </w:r>
      <w:r w:rsidR="00707EBA" w:rsidRPr="00AB70AB">
        <w:rPr>
          <w:sz w:val="26"/>
          <w:szCs w:val="26"/>
        </w:rPr>
        <w:t xml:space="preserve"> un maggiore coinvolgimento delle </w:t>
      </w:r>
      <w:r w:rsidR="00E65FB8" w:rsidRPr="00AB70AB">
        <w:rPr>
          <w:sz w:val="26"/>
          <w:szCs w:val="26"/>
        </w:rPr>
        <w:t>autorità</w:t>
      </w:r>
      <w:r w:rsidR="00707EBA" w:rsidRPr="00AB70AB">
        <w:rPr>
          <w:sz w:val="26"/>
          <w:szCs w:val="26"/>
        </w:rPr>
        <w:t xml:space="preserve"> nazionali </w:t>
      </w:r>
      <w:r w:rsidR="008204FF" w:rsidRPr="00AB70AB">
        <w:rPr>
          <w:sz w:val="26"/>
          <w:szCs w:val="26"/>
        </w:rPr>
        <w:t>di sicurezza</w:t>
      </w:r>
      <w:r>
        <w:rPr>
          <w:sz w:val="26"/>
          <w:szCs w:val="26"/>
        </w:rPr>
        <w:t>. Si ritiene pertanto preferibile</w:t>
      </w:r>
      <w:r w:rsidR="00EE0DFA" w:rsidRPr="00AB70AB">
        <w:rPr>
          <w:sz w:val="26"/>
          <w:szCs w:val="26"/>
        </w:rPr>
        <w:t xml:space="preserve"> un </w:t>
      </w:r>
      <w:r w:rsidR="008204FF" w:rsidRPr="00AB70AB">
        <w:rPr>
          <w:sz w:val="26"/>
          <w:szCs w:val="26"/>
        </w:rPr>
        <w:t>regim</w:t>
      </w:r>
      <w:r w:rsidR="00AB70AB" w:rsidRPr="00AB70AB">
        <w:rPr>
          <w:sz w:val="26"/>
          <w:szCs w:val="26"/>
        </w:rPr>
        <w:t>e duale per le certificazioni</w:t>
      </w:r>
      <w:r w:rsidR="00EE0DFA" w:rsidRPr="00AB70AB">
        <w:rPr>
          <w:sz w:val="26"/>
          <w:szCs w:val="26"/>
        </w:rPr>
        <w:t>, in cui l</w:t>
      </w:r>
      <w:r w:rsidR="008204FF" w:rsidRPr="00AB70AB">
        <w:rPr>
          <w:sz w:val="26"/>
          <w:szCs w:val="26"/>
        </w:rPr>
        <w:t xml:space="preserve">'Agenzia </w:t>
      </w:r>
      <w:r w:rsidR="00EE0DFA" w:rsidRPr="00AB70AB">
        <w:rPr>
          <w:sz w:val="26"/>
          <w:szCs w:val="26"/>
        </w:rPr>
        <w:t xml:space="preserve">ferroviaria </w:t>
      </w:r>
      <w:r w:rsidR="008204FF" w:rsidRPr="00AB70AB">
        <w:rPr>
          <w:sz w:val="26"/>
          <w:szCs w:val="26"/>
        </w:rPr>
        <w:t xml:space="preserve">europea </w:t>
      </w:r>
      <w:r w:rsidR="00AB70AB" w:rsidRPr="00AB70AB">
        <w:rPr>
          <w:sz w:val="26"/>
          <w:szCs w:val="26"/>
        </w:rPr>
        <w:t>assumerebbe il ruolo di unico punto di riferimento</w:t>
      </w:r>
      <w:r w:rsidR="008204FF" w:rsidRPr="00AB70AB">
        <w:rPr>
          <w:sz w:val="26"/>
          <w:szCs w:val="26"/>
        </w:rPr>
        <w:t xml:space="preserve"> per i servizi di trasporto ferroviario </w:t>
      </w:r>
      <w:r w:rsidR="00EE0DFA" w:rsidRPr="00AB70AB">
        <w:rPr>
          <w:sz w:val="26"/>
          <w:szCs w:val="26"/>
        </w:rPr>
        <w:t>transnazionali</w:t>
      </w:r>
      <w:r w:rsidR="008204FF" w:rsidRPr="00AB70AB">
        <w:rPr>
          <w:sz w:val="26"/>
          <w:szCs w:val="26"/>
        </w:rPr>
        <w:t xml:space="preserve">, in cooperazione con le autorità nazionali, </w:t>
      </w:r>
      <w:r w:rsidR="00AB70AB" w:rsidRPr="00AB70AB">
        <w:rPr>
          <w:sz w:val="26"/>
          <w:szCs w:val="26"/>
        </w:rPr>
        <w:t>e alle imprese ferroviarie che</w:t>
      </w:r>
      <w:r w:rsidR="00AB70AB" w:rsidRPr="00AB70AB">
        <w:rPr>
          <w:snapToGrid w:val="0"/>
          <w:sz w:val="26"/>
          <w:szCs w:val="26"/>
          <w:lang w:eastAsia="en-GB"/>
        </w:rPr>
        <w:t xml:space="preserve"> </w:t>
      </w:r>
      <w:r w:rsidR="00AB70AB" w:rsidRPr="00AB70AB">
        <w:rPr>
          <w:sz w:val="26"/>
          <w:szCs w:val="26"/>
        </w:rPr>
        <w:t xml:space="preserve">intendono operare in un unico Stato membro venga </w:t>
      </w:r>
      <w:r>
        <w:rPr>
          <w:sz w:val="26"/>
          <w:szCs w:val="26"/>
        </w:rPr>
        <w:t>lasciata</w:t>
      </w:r>
      <w:r w:rsidR="00AB70AB" w:rsidRPr="00AB70AB">
        <w:rPr>
          <w:sz w:val="26"/>
          <w:szCs w:val="26"/>
        </w:rPr>
        <w:t xml:space="preserve"> la possibilità di scegliere se ottenere il certificato di sicurezza e l'autorizzazione per i veicoli dall'Agenzia oppure dalle competenti autor</w:t>
      </w:r>
      <w:r w:rsidR="00A552A1">
        <w:rPr>
          <w:sz w:val="26"/>
          <w:szCs w:val="26"/>
        </w:rPr>
        <w:t>ità nazionali per la sicurezza.</w:t>
      </w:r>
    </w:p>
    <w:p w:rsidR="00EE0DFA" w:rsidRPr="00AB70AB" w:rsidRDefault="00E65FB8" w:rsidP="00E65FB8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 xml:space="preserve">Si </w:t>
      </w:r>
      <w:r w:rsidR="00EE0DFA" w:rsidRPr="00AB70AB">
        <w:rPr>
          <w:sz w:val="26"/>
          <w:szCs w:val="26"/>
        </w:rPr>
        <w:t>sottolineano</w:t>
      </w:r>
      <w:r w:rsidR="00AB70AB" w:rsidRPr="00AB70AB">
        <w:rPr>
          <w:sz w:val="26"/>
          <w:szCs w:val="26"/>
        </w:rPr>
        <w:t>, infine,</w:t>
      </w:r>
      <w:r w:rsidR="00EE0DFA" w:rsidRPr="00AB70AB">
        <w:rPr>
          <w:sz w:val="26"/>
          <w:szCs w:val="26"/>
        </w:rPr>
        <w:t xml:space="preserve"> alcune criticità, sulle quali si invita a una maggiore riflessione in sede di negoziato</w:t>
      </w:r>
      <w:r w:rsidR="00AB70AB" w:rsidRPr="00AB70AB">
        <w:rPr>
          <w:sz w:val="26"/>
          <w:szCs w:val="26"/>
        </w:rPr>
        <w:t>:</w:t>
      </w:r>
    </w:p>
    <w:p w:rsidR="00C31F09" w:rsidRPr="003460F8" w:rsidRDefault="00BC66B2" w:rsidP="003460F8">
      <w:pPr>
        <w:pStyle w:val="Paragrafoelenco"/>
        <w:numPr>
          <w:ilvl w:val="0"/>
          <w:numId w:val="2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65FB8" w:rsidRPr="003460F8">
        <w:rPr>
          <w:rFonts w:ascii="Times New Roman" w:hAnsi="Times New Roman" w:cs="Times New Roman"/>
          <w:sz w:val="26"/>
          <w:szCs w:val="26"/>
        </w:rPr>
        <w:t xml:space="preserve">on riferimento alla </w:t>
      </w:r>
      <w:r w:rsidR="00C31F09" w:rsidRPr="003460F8">
        <w:rPr>
          <w:rFonts w:ascii="Times New Roman" w:hAnsi="Times New Roman" w:cs="Times New Roman"/>
          <w:sz w:val="26"/>
          <w:szCs w:val="26"/>
        </w:rPr>
        <w:t>"</w:t>
      </w:r>
      <w:r w:rsidR="001F0D8F">
        <w:rPr>
          <w:rFonts w:ascii="Times New Roman" w:hAnsi="Times New Roman" w:cs="Times New Roman"/>
          <w:sz w:val="26"/>
          <w:szCs w:val="26"/>
        </w:rPr>
        <w:t>C</w:t>
      </w:r>
      <w:r w:rsidR="00C31F09" w:rsidRPr="003460F8">
        <w:rPr>
          <w:rFonts w:ascii="Times New Roman" w:hAnsi="Times New Roman" w:cs="Times New Roman"/>
          <w:sz w:val="26"/>
          <w:szCs w:val="26"/>
        </w:rPr>
        <w:t xml:space="preserve">ommissione di ricorso", </w:t>
      </w:r>
      <w:r w:rsidR="001F0D8F">
        <w:rPr>
          <w:rFonts w:ascii="Times New Roman" w:hAnsi="Times New Roman" w:cs="Times New Roman"/>
          <w:sz w:val="26"/>
          <w:szCs w:val="26"/>
        </w:rPr>
        <w:t xml:space="preserve">di cui agli artt. 51-57 della proposta di regolamento relativo all'Agenzia ferroviaria europea, la cui previsione è </w:t>
      </w:r>
      <w:r w:rsidR="003460F8" w:rsidRPr="003460F8">
        <w:rPr>
          <w:rFonts w:ascii="Times New Roman" w:hAnsi="Times New Roman" w:cs="Times New Roman"/>
          <w:sz w:val="26"/>
          <w:szCs w:val="26"/>
        </w:rPr>
        <w:t xml:space="preserve">necessaria </w:t>
      </w:r>
      <w:r w:rsidR="00CC7BB2">
        <w:rPr>
          <w:rFonts w:ascii="Times New Roman" w:hAnsi="Times New Roman" w:cs="Times New Roman"/>
          <w:sz w:val="26"/>
          <w:szCs w:val="26"/>
        </w:rPr>
        <w:t xml:space="preserve">per dirimere le eventuali controversie derivanti </w:t>
      </w:r>
      <w:r w:rsidR="003460F8" w:rsidRPr="003460F8">
        <w:rPr>
          <w:rFonts w:ascii="Times New Roman" w:hAnsi="Times New Roman" w:cs="Times New Roman"/>
          <w:sz w:val="26"/>
          <w:szCs w:val="26"/>
        </w:rPr>
        <w:t>dall'ampliamento delle competenze dell'Agenzia</w:t>
      </w:r>
      <w:r w:rsidR="003460F8">
        <w:rPr>
          <w:rFonts w:ascii="Times New Roman" w:hAnsi="Times New Roman" w:cs="Times New Roman"/>
          <w:sz w:val="26"/>
          <w:szCs w:val="26"/>
        </w:rPr>
        <w:t xml:space="preserve"> ferroviaria europea (per il r</w:t>
      </w:r>
      <w:r w:rsidR="003460F8" w:rsidRPr="003460F8">
        <w:rPr>
          <w:rFonts w:ascii="Times New Roman" w:hAnsi="Times New Roman" w:cs="Times New Roman"/>
          <w:sz w:val="26"/>
          <w:szCs w:val="26"/>
        </w:rPr>
        <w:t>ilascio di autorizzazioni all'autorizzazione sul mercato di veicoli e certificati di sicurezza</w:t>
      </w:r>
      <w:r w:rsidR="003460F8">
        <w:rPr>
          <w:rFonts w:ascii="Times New Roman" w:hAnsi="Times New Roman" w:cs="Times New Roman"/>
          <w:sz w:val="26"/>
          <w:szCs w:val="26"/>
        </w:rPr>
        <w:t>),</w:t>
      </w:r>
      <w:r w:rsidR="003460F8" w:rsidRPr="003460F8">
        <w:rPr>
          <w:rFonts w:ascii="Times New Roman" w:hAnsi="Times New Roman" w:cs="Times New Roman"/>
          <w:sz w:val="26"/>
          <w:szCs w:val="26"/>
        </w:rPr>
        <w:t xml:space="preserve"> si ritiene </w:t>
      </w:r>
      <w:r w:rsidR="00CC7BB2">
        <w:rPr>
          <w:rFonts w:ascii="Times New Roman" w:hAnsi="Times New Roman" w:cs="Times New Roman"/>
          <w:sz w:val="26"/>
          <w:szCs w:val="26"/>
        </w:rPr>
        <w:t xml:space="preserve">fondamentale specificare, nella sua definizione, che tale commissione </w:t>
      </w:r>
      <w:r w:rsidR="001F0D8F">
        <w:rPr>
          <w:rFonts w:ascii="Times New Roman" w:hAnsi="Times New Roman" w:cs="Times New Roman"/>
          <w:sz w:val="26"/>
          <w:szCs w:val="26"/>
        </w:rPr>
        <w:t>venga a costituire</w:t>
      </w:r>
      <w:r w:rsidR="00CC7BB2">
        <w:rPr>
          <w:rFonts w:ascii="Times New Roman" w:hAnsi="Times New Roman" w:cs="Times New Roman"/>
          <w:sz w:val="26"/>
          <w:szCs w:val="26"/>
        </w:rPr>
        <w:t xml:space="preserve"> un organo di ricorso indipendente </w:t>
      </w:r>
      <w:r w:rsidR="00CC7BB2" w:rsidRPr="003460F8">
        <w:rPr>
          <w:rFonts w:ascii="Times New Roman" w:hAnsi="Times New Roman" w:cs="Times New Roman"/>
          <w:sz w:val="26"/>
          <w:szCs w:val="26"/>
        </w:rPr>
        <w:t>esterno all'Agenzia</w:t>
      </w:r>
      <w:r w:rsidR="00C31F09" w:rsidRPr="003460F8">
        <w:rPr>
          <w:rFonts w:ascii="Times New Roman" w:hAnsi="Times New Roman" w:cs="Times New Roman"/>
          <w:sz w:val="26"/>
          <w:szCs w:val="26"/>
        </w:rPr>
        <w:t>.</w:t>
      </w:r>
      <w:r w:rsidR="00A552A1">
        <w:rPr>
          <w:rFonts w:ascii="Times New Roman" w:hAnsi="Times New Roman" w:cs="Times New Roman"/>
          <w:sz w:val="26"/>
          <w:szCs w:val="26"/>
        </w:rPr>
        <w:t xml:space="preserve"> Si ritiene altresì necessario insistere per la fissazione di criteri trasparenti per la selezione dei membri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B8" w:rsidRPr="00AB70AB" w:rsidRDefault="00BC66B2" w:rsidP="00AB70AB">
      <w:pPr>
        <w:pStyle w:val="Paragrafoelenco"/>
        <w:numPr>
          <w:ilvl w:val="0"/>
          <w:numId w:val="2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067A59" w:rsidRPr="00AB70AB">
        <w:rPr>
          <w:rFonts w:ascii="Times New Roman" w:hAnsi="Times New Roman" w:cs="Times New Roman"/>
          <w:sz w:val="26"/>
          <w:szCs w:val="26"/>
        </w:rPr>
        <w:t xml:space="preserve">on riferimento all’estensione dei compiti di supervisione </w:t>
      </w:r>
      <w:r w:rsidR="00067A59">
        <w:rPr>
          <w:rFonts w:ascii="Times New Roman" w:hAnsi="Times New Roman" w:cs="Times New Roman"/>
          <w:sz w:val="26"/>
          <w:szCs w:val="26"/>
        </w:rPr>
        <w:t>affidati a</w:t>
      </w:r>
      <w:r w:rsidR="00067A59" w:rsidRPr="00AB70AB">
        <w:rPr>
          <w:rFonts w:ascii="Times New Roman" w:hAnsi="Times New Roman" w:cs="Times New Roman"/>
          <w:sz w:val="26"/>
          <w:szCs w:val="26"/>
        </w:rPr>
        <w:t xml:space="preserve">lle autorità nazionali </w:t>
      </w:r>
      <w:r w:rsidR="00067A59">
        <w:rPr>
          <w:rFonts w:ascii="Times New Roman" w:hAnsi="Times New Roman" w:cs="Times New Roman"/>
          <w:sz w:val="26"/>
          <w:szCs w:val="26"/>
        </w:rPr>
        <w:t>preposte alla sicurezza, previsti nella proposta di direttiva sulla sicurezza al fine di tener conto del nuovo ruolo di tali autorità nell'ambito del passaggio a un certificato di sicurezza unico, s</w:t>
      </w:r>
      <w:r w:rsidR="00E65FB8" w:rsidRPr="00AB70AB">
        <w:rPr>
          <w:rFonts w:ascii="Times New Roman" w:hAnsi="Times New Roman" w:cs="Times New Roman"/>
          <w:sz w:val="26"/>
          <w:szCs w:val="26"/>
        </w:rPr>
        <w:t xml:space="preserve">i ritiene necessario che le </w:t>
      </w:r>
      <w:r w:rsidR="00C31F09" w:rsidRPr="00AB70AB">
        <w:rPr>
          <w:rFonts w:ascii="Times New Roman" w:hAnsi="Times New Roman" w:cs="Times New Roman"/>
          <w:sz w:val="26"/>
          <w:szCs w:val="26"/>
        </w:rPr>
        <w:t>i</w:t>
      </w:r>
      <w:r w:rsidR="00E65FB8" w:rsidRPr="00AB70AB">
        <w:rPr>
          <w:rFonts w:ascii="Times New Roman" w:hAnsi="Times New Roman" w:cs="Times New Roman"/>
          <w:sz w:val="26"/>
          <w:szCs w:val="26"/>
        </w:rPr>
        <w:t>mprese ferroviarie siano responsabili della supervisione delle prestazioni di sicurezza dei soggetti con i quali esse intrattengono rapporti commerciali</w:t>
      </w:r>
      <w:r w:rsidR="00C92C1E">
        <w:rPr>
          <w:rFonts w:ascii="Times New Roman" w:hAnsi="Times New Roman" w:cs="Times New Roman"/>
          <w:sz w:val="26"/>
          <w:szCs w:val="26"/>
        </w:rPr>
        <w:t>.</w:t>
      </w:r>
      <w:r w:rsidR="00067A59">
        <w:rPr>
          <w:rFonts w:ascii="Times New Roman" w:hAnsi="Times New Roman" w:cs="Times New Roman"/>
          <w:sz w:val="26"/>
          <w:szCs w:val="26"/>
        </w:rPr>
        <w:t xml:space="preserve"> </w:t>
      </w:r>
      <w:r w:rsidR="00C92C1E">
        <w:rPr>
          <w:rFonts w:ascii="Times New Roman" w:hAnsi="Times New Roman" w:cs="Times New Roman"/>
          <w:sz w:val="26"/>
          <w:szCs w:val="26"/>
        </w:rPr>
        <w:t>L</w:t>
      </w:r>
      <w:r w:rsidR="00C92C1E" w:rsidRPr="00C92C1E">
        <w:rPr>
          <w:rFonts w:ascii="Times New Roman" w:hAnsi="Times New Roman" w:cs="Times New Roman"/>
          <w:sz w:val="26"/>
          <w:szCs w:val="26"/>
        </w:rPr>
        <w:t>a definizione</w:t>
      </w:r>
      <w:r w:rsidR="00C92C1E">
        <w:rPr>
          <w:rFonts w:ascii="Times New Roman" w:hAnsi="Times New Roman" w:cs="Times New Roman"/>
          <w:sz w:val="26"/>
          <w:szCs w:val="26"/>
        </w:rPr>
        <w:t xml:space="preserve"> contenuta all'art. 16 della proposta dovrebbe pertanto meglio precisare</w:t>
      </w:r>
      <w:r w:rsidR="00C92C1E" w:rsidRPr="00C92C1E">
        <w:rPr>
          <w:rFonts w:ascii="Times New Roman" w:hAnsi="Times New Roman" w:cs="Times New Roman"/>
          <w:sz w:val="26"/>
          <w:szCs w:val="26"/>
        </w:rPr>
        <w:t xml:space="preserve"> i profili di responsabilità che fanno capo alle imprese ferroviarie e ai </w:t>
      </w:r>
      <w:r w:rsidR="00C92C1E" w:rsidRPr="00C92C1E">
        <w:rPr>
          <w:rFonts w:ascii="Times New Roman" w:hAnsi="Times New Roman" w:cs="Times New Roman"/>
          <w:sz w:val="26"/>
          <w:szCs w:val="26"/>
        </w:rPr>
        <w:lastRenderedPageBreak/>
        <w:t>gestori di infrastrutture per quanto riguarda il controllo sugli altri attori del sistema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0EF9" w:rsidRPr="00AB70AB" w:rsidRDefault="00BC66B2" w:rsidP="00AB70AB">
      <w:pPr>
        <w:pStyle w:val="Paragrafoelenco"/>
        <w:numPr>
          <w:ilvl w:val="0"/>
          <w:numId w:val="2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C92C1E">
        <w:rPr>
          <w:rFonts w:ascii="Times New Roman" w:hAnsi="Times New Roman" w:cs="Times New Roman"/>
          <w:sz w:val="26"/>
          <w:szCs w:val="26"/>
        </w:rPr>
        <w:t>e finalità della proposta di direttiva sulla sicurezza appaiono rivolte verso</w:t>
      </w:r>
      <w:r w:rsidR="007A0EF9" w:rsidRPr="00AB70AB">
        <w:rPr>
          <w:rFonts w:ascii="Times New Roman" w:hAnsi="Times New Roman" w:cs="Times New Roman"/>
          <w:sz w:val="26"/>
          <w:szCs w:val="26"/>
        </w:rPr>
        <w:t xml:space="preserve"> </w:t>
      </w:r>
      <w:r w:rsidR="00C92C1E">
        <w:rPr>
          <w:rFonts w:ascii="Times New Roman" w:hAnsi="Times New Roman" w:cs="Times New Roman"/>
          <w:sz w:val="26"/>
          <w:szCs w:val="26"/>
        </w:rPr>
        <w:t xml:space="preserve">un più ampio </w:t>
      </w:r>
      <w:r w:rsidR="007A0EF9" w:rsidRPr="00AB70AB">
        <w:rPr>
          <w:rFonts w:ascii="Times New Roman" w:hAnsi="Times New Roman" w:cs="Times New Roman"/>
          <w:sz w:val="26"/>
          <w:szCs w:val="26"/>
        </w:rPr>
        <w:t xml:space="preserve">accesso al mercato dei trasporti favorendo la creazione di uno spazio unico europeo, attraverso l'armonizzazione e il controllo della certificazione di sicurezza, </w:t>
      </w:r>
      <w:r w:rsidR="00C92C1E">
        <w:rPr>
          <w:rFonts w:ascii="Times New Roman" w:hAnsi="Times New Roman" w:cs="Times New Roman"/>
          <w:sz w:val="26"/>
          <w:szCs w:val="26"/>
        </w:rPr>
        <w:t xml:space="preserve">piuttosto che </w:t>
      </w:r>
      <w:r w:rsidR="007A0EF9" w:rsidRPr="00AB70AB">
        <w:rPr>
          <w:rFonts w:ascii="Times New Roman" w:hAnsi="Times New Roman" w:cs="Times New Roman"/>
          <w:sz w:val="26"/>
          <w:szCs w:val="26"/>
        </w:rPr>
        <w:t>a regolamentare il settore con</w:t>
      </w:r>
      <w:r w:rsidR="000D7143" w:rsidRPr="00AB70AB">
        <w:rPr>
          <w:rFonts w:ascii="Times New Roman" w:hAnsi="Times New Roman" w:cs="Times New Roman"/>
          <w:sz w:val="26"/>
          <w:szCs w:val="26"/>
        </w:rPr>
        <w:t xml:space="preserve"> riguardo alla sicurezza stessa, </w:t>
      </w:r>
      <w:r w:rsidR="00C92C1E">
        <w:rPr>
          <w:rFonts w:ascii="Times New Roman" w:hAnsi="Times New Roman" w:cs="Times New Roman"/>
          <w:sz w:val="26"/>
          <w:szCs w:val="26"/>
        </w:rPr>
        <w:t>in merito alla</w:t>
      </w:r>
      <w:r w:rsidR="000D7143" w:rsidRPr="00AB70AB">
        <w:rPr>
          <w:rFonts w:ascii="Times New Roman" w:hAnsi="Times New Roman" w:cs="Times New Roman"/>
          <w:sz w:val="26"/>
          <w:szCs w:val="26"/>
        </w:rPr>
        <w:t xml:space="preserve"> quale si invitano pertanto i legislatori a soffermarsi, precisando compiti, responsabilità e relazioni</w:t>
      </w:r>
      <w:r w:rsidR="00C92C1E">
        <w:rPr>
          <w:rFonts w:ascii="Times New Roman" w:hAnsi="Times New Roman" w:cs="Times New Roman"/>
          <w:sz w:val="26"/>
          <w:szCs w:val="26"/>
        </w:rPr>
        <w:t>,</w:t>
      </w:r>
      <w:r w:rsidR="000D7143" w:rsidRPr="00AB70AB">
        <w:rPr>
          <w:rFonts w:ascii="Times New Roman" w:hAnsi="Times New Roman" w:cs="Times New Roman"/>
          <w:sz w:val="26"/>
          <w:szCs w:val="26"/>
        </w:rPr>
        <w:t xml:space="preserve"> anche </w:t>
      </w:r>
      <w:r w:rsidR="00C92C1E">
        <w:rPr>
          <w:rFonts w:ascii="Times New Roman" w:hAnsi="Times New Roman" w:cs="Times New Roman"/>
          <w:sz w:val="26"/>
          <w:szCs w:val="26"/>
        </w:rPr>
        <w:t>con riguardo ai</w:t>
      </w:r>
      <w:r w:rsidR="000D7143" w:rsidRPr="00AB70AB">
        <w:rPr>
          <w:rFonts w:ascii="Times New Roman" w:hAnsi="Times New Roman" w:cs="Times New Roman"/>
          <w:sz w:val="26"/>
          <w:szCs w:val="26"/>
        </w:rPr>
        <w:t xml:space="preserve"> gestori dell'infrastruttura, </w:t>
      </w:r>
      <w:r w:rsidR="00D0274B">
        <w:rPr>
          <w:rFonts w:ascii="Times New Roman" w:hAnsi="Times New Roman" w:cs="Times New Roman"/>
          <w:sz w:val="26"/>
          <w:szCs w:val="26"/>
        </w:rPr>
        <w:t xml:space="preserve">alle </w:t>
      </w:r>
      <w:r w:rsidR="000D7143" w:rsidRPr="00AB70AB">
        <w:rPr>
          <w:rFonts w:ascii="Times New Roman" w:hAnsi="Times New Roman" w:cs="Times New Roman"/>
          <w:sz w:val="26"/>
          <w:szCs w:val="26"/>
        </w:rPr>
        <w:t xml:space="preserve">imprese ferroviarie e </w:t>
      </w:r>
      <w:r w:rsidR="00D0274B">
        <w:rPr>
          <w:rFonts w:ascii="Times New Roman" w:hAnsi="Times New Roman" w:cs="Times New Roman"/>
          <w:sz w:val="26"/>
          <w:szCs w:val="26"/>
        </w:rPr>
        <w:t>ai nuovi</w:t>
      </w:r>
      <w:r w:rsidR="000D7143" w:rsidRPr="00AB70AB">
        <w:rPr>
          <w:rFonts w:ascii="Times New Roman" w:hAnsi="Times New Roman" w:cs="Times New Roman"/>
          <w:sz w:val="26"/>
          <w:szCs w:val="26"/>
        </w:rPr>
        <w:t xml:space="preserve"> attori che operano </w:t>
      </w:r>
      <w:r w:rsidR="001D3763">
        <w:rPr>
          <w:rFonts w:ascii="Times New Roman" w:hAnsi="Times New Roman" w:cs="Times New Roman"/>
          <w:sz w:val="26"/>
          <w:szCs w:val="26"/>
        </w:rPr>
        <w:t xml:space="preserve">in </w:t>
      </w:r>
      <w:r w:rsidR="000D7143" w:rsidRPr="00AB70AB">
        <w:rPr>
          <w:rFonts w:ascii="Times New Roman" w:hAnsi="Times New Roman" w:cs="Times New Roman"/>
          <w:sz w:val="26"/>
          <w:szCs w:val="26"/>
        </w:rPr>
        <w:t>ambito ferroviario.</w:t>
      </w:r>
    </w:p>
    <w:p w:rsidR="00200BB8" w:rsidRPr="00AB70AB" w:rsidRDefault="00292332" w:rsidP="00A53FDB">
      <w:pPr>
        <w:spacing w:after="120"/>
        <w:ind w:firstLine="708"/>
        <w:jc w:val="both"/>
        <w:rPr>
          <w:sz w:val="26"/>
          <w:szCs w:val="26"/>
        </w:rPr>
      </w:pPr>
      <w:r w:rsidRPr="00AB70AB">
        <w:rPr>
          <w:sz w:val="26"/>
          <w:szCs w:val="26"/>
        </w:rPr>
        <w:t>Si esprimono</w:t>
      </w:r>
      <w:r w:rsidR="000D7143" w:rsidRPr="00AB70AB">
        <w:rPr>
          <w:sz w:val="26"/>
          <w:szCs w:val="26"/>
        </w:rPr>
        <w:t>,</w:t>
      </w:r>
      <w:r w:rsidRPr="00AB70AB">
        <w:rPr>
          <w:sz w:val="26"/>
          <w:szCs w:val="26"/>
        </w:rPr>
        <w:t xml:space="preserve"> </w:t>
      </w:r>
      <w:r w:rsidR="00E65FB8" w:rsidRPr="00AB70AB">
        <w:rPr>
          <w:sz w:val="26"/>
          <w:szCs w:val="26"/>
        </w:rPr>
        <w:t>infine</w:t>
      </w:r>
      <w:r w:rsidR="000D7143" w:rsidRPr="00AB70AB">
        <w:rPr>
          <w:sz w:val="26"/>
          <w:szCs w:val="26"/>
        </w:rPr>
        <w:t>,</w:t>
      </w:r>
      <w:r w:rsidR="00E65FB8" w:rsidRPr="00AB70AB">
        <w:rPr>
          <w:sz w:val="26"/>
          <w:szCs w:val="26"/>
        </w:rPr>
        <w:t xml:space="preserve"> </w:t>
      </w:r>
      <w:r w:rsidRPr="00AB70AB">
        <w:rPr>
          <w:sz w:val="26"/>
          <w:szCs w:val="26"/>
        </w:rPr>
        <w:t>perplessità</w:t>
      </w:r>
      <w:r w:rsidR="00A53FDB" w:rsidRPr="00AB70AB">
        <w:rPr>
          <w:sz w:val="26"/>
          <w:szCs w:val="26"/>
        </w:rPr>
        <w:t xml:space="preserve"> con riguardo </w:t>
      </w:r>
      <w:r w:rsidR="00A552A1">
        <w:rPr>
          <w:sz w:val="26"/>
          <w:szCs w:val="26"/>
        </w:rPr>
        <w:t xml:space="preserve">al </w:t>
      </w:r>
      <w:r w:rsidR="00200BB8">
        <w:rPr>
          <w:sz w:val="26"/>
          <w:szCs w:val="26"/>
        </w:rPr>
        <w:t>ricorso</w:t>
      </w:r>
      <w:r w:rsidR="00A90905">
        <w:rPr>
          <w:sz w:val="26"/>
          <w:szCs w:val="26"/>
        </w:rPr>
        <w:t xml:space="preserve"> </w:t>
      </w:r>
      <w:r w:rsidR="00200BB8">
        <w:rPr>
          <w:sz w:val="26"/>
          <w:szCs w:val="26"/>
        </w:rPr>
        <w:t xml:space="preserve">del </w:t>
      </w:r>
      <w:r w:rsidR="00A90905">
        <w:rPr>
          <w:sz w:val="26"/>
          <w:szCs w:val="26"/>
        </w:rPr>
        <w:t>conferimento</w:t>
      </w:r>
      <w:r w:rsidR="00A53FDB" w:rsidRPr="00AB70AB">
        <w:rPr>
          <w:sz w:val="26"/>
          <w:szCs w:val="26"/>
        </w:rPr>
        <w:t xml:space="preserve"> </w:t>
      </w:r>
      <w:r w:rsidR="00A90905">
        <w:rPr>
          <w:sz w:val="26"/>
          <w:szCs w:val="26"/>
        </w:rPr>
        <w:t xml:space="preserve">alla Commissione europea </w:t>
      </w:r>
      <w:r w:rsidR="00A53FDB" w:rsidRPr="00AB70AB">
        <w:rPr>
          <w:sz w:val="26"/>
          <w:szCs w:val="26"/>
        </w:rPr>
        <w:t>d</w:t>
      </w:r>
      <w:r w:rsidR="00A90905">
        <w:rPr>
          <w:sz w:val="26"/>
          <w:szCs w:val="26"/>
        </w:rPr>
        <w:t>el</w:t>
      </w:r>
      <w:r w:rsidR="00D0274B">
        <w:rPr>
          <w:sz w:val="26"/>
          <w:szCs w:val="26"/>
        </w:rPr>
        <w:t xml:space="preserve"> poter</w:t>
      </w:r>
      <w:r w:rsidR="00A90905">
        <w:rPr>
          <w:sz w:val="26"/>
          <w:szCs w:val="26"/>
        </w:rPr>
        <w:t>e</w:t>
      </w:r>
      <w:r w:rsidR="00D0274B">
        <w:rPr>
          <w:sz w:val="26"/>
          <w:szCs w:val="26"/>
        </w:rPr>
        <w:t xml:space="preserve"> di </w:t>
      </w:r>
      <w:r w:rsidR="00A90905">
        <w:rPr>
          <w:sz w:val="26"/>
          <w:szCs w:val="26"/>
        </w:rPr>
        <w:t>adottare atti delegati</w:t>
      </w:r>
      <w:r w:rsidR="00A552A1">
        <w:rPr>
          <w:sz w:val="26"/>
          <w:szCs w:val="26"/>
        </w:rPr>
        <w:t xml:space="preserve"> c</w:t>
      </w:r>
      <w:r w:rsidR="00A90905">
        <w:rPr>
          <w:sz w:val="26"/>
          <w:szCs w:val="26"/>
        </w:rPr>
        <w:t xml:space="preserve">on particolare riferimento alle previsioni contenute </w:t>
      </w:r>
      <w:r w:rsidR="00A53FDB" w:rsidRPr="00AB70AB">
        <w:rPr>
          <w:sz w:val="26"/>
          <w:szCs w:val="26"/>
        </w:rPr>
        <w:t>all'art</w:t>
      </w:r>
      <w:r w:rsidR="00A90905">
        <w:rPr>
          <w:sz w:val="26"/>
          <w:szCs w:val="26"/>
        </w:rPr>
        <w:t>.</w:t>
      </w:r>
      <w:r w:rsidR="00A53FDB" w:rsidRPr="00AB70AB">
        <w:rPr>
          <w:sz w:val="26"/>
          <w:szCs w:val="26"/>
        </w:rPr>
        <w:t xml:space="preserve"> 26 della proposta di direttiva sulla sicurezza</w:t>
      </w:r>
      <w:r w:rsidR="002F66A2">
        <w:rPr>
          <w:sz w:val="26"/>
          <w:szCs w:val="26"/>
        </w:rPr>
        <w:t>.</w:t>
      </w:r>
      <w:r w:rsidR="00A552A1">
        <w:rPr>
          <w:sz w:val="26"/>
          <w:szCs w:val="26"/>
        </w:rPr>
        <w:t xml:space="preserve"> </w:t>
      </w:r>
      <w:r w:rsidR="00200BB8">
        <w:rPr>
          <w:sz w:val="26"/>
          <w:szCs w:val="26"/>
        </w:rPr>
        <w:t xml:space="preserve">Si ritiene pertinente sottolineare </w:t>
      </w:r>
      <w:r w:rsidR="00A552A1">
        <w:rPr>
          <w:sz w:val="26"/>
          <w:szCs w:val="26"/>
        </w:rPr>
        <w:t xml:space="preserve">anche </w:t>
      </w:r>
      <w:r w:rsidR="00200BB8">
        <w:rPr>
          <w:sz w:val="26"/>
          <w:szCs w:val="26"/>
        </w:rPr>
        <w:t>la criticità dell'</w:t>
      </w:r>
      <w:r w:rsidR="00200BB8" w:rsidRPr="00200BB8">
        <w:rPr>
          <w:sz w:val="26"/>
          <w:szCs w:val="26"/>
        </w:rPr>
        <w:t>attribuzione della delega</w:t>
      </w:r>
      <w:r w:rsidR="00A552A1">
        <w:rPr>
          <w:sz w:val="26"/>
          <w:szCs w:val="26"/>
        </w:rPr>
        <w:t xml:space="preserve"> alla Commissione </w:t>
      </w:r>
      <w:r w:rsidR="00200BB8" w:rsidRPr="00200BB8">
        <w:rPr>
          <w:sz w:val="26"/>
          <w:szCs w:val="26"/>
        </w:rPr>
        <w:t xml:space="preserve">anche </w:t>
      </w:r>
      <w:r w:rsidR="00200BB8">
        <w:rPr>
          <w:sz w:val="26"/>
          <w:szCs w:val="26"/>
        </w:rPr>
        <w:t>con riferimento al</w:t>
      </w:r>
      <w:r w:rsidR="00200BB8" w:rsidRPr="00200BB8">
        <w:rPr>
          <w:sz w:val="26"/>
          <w:szCs w:val="26"/>
        </w:rPr>
        <w:t xml:space="preserve">le nuove </w:t>
      </w:r>
      <w:r w:rsidR="00200BB8">
        <w:rPr>
          <w:sz w:val="26"/>
          <w:szCs w:val="26"/>
        </w:rPr>
        <w:t>s</w:t>
      </w:r>
      <w:r w:rsidR="00200BB8" w:rsidRPr="00200BB8">
        <w:rPr>
          <w:sz w:val="26"/>
          <w:szCs w:val="26"/>
        </w:rPr>
        <w:t xml:space="preserve">pecifiche </w:t>
      </w:r>
      <w:r w:rsidR="00200BB8">
        <w:rPr>
          <w:sz w:val="26"/>
          <w:szCs w:val="26"/>
        </w:rPr>
        <w:t>t</w:t>
      </w:r>
      <w:r w:rsidR="00200BB8" w:rsidRPr="00200BB8">
        <w:rPr>
          <w:sz w:val="26"/>
          <w:szCs w:val="26"/>
        </w:rPr>
        <w:t xml:space="preserve">ecniche di </w:t>
      </w:r>
      <w:r w:rsidR="00200BB8">
        <w:rPr>
          <w:sz w:val="26"/>
          <w:szCs w:val="26"/>
        </w:rPr>
        <w:t>i</w:t>
      </w:r>
      <w:r w:rsidR="00200BB8" w:rsidRPr="00200BB8">
        <w:rPr>
          <w:sz w:val="26"/>
          <w:szCs w:val="26"/>
        </w:rPr>
        <w:t>nteroperabilità (STI)</w:t>
      </w:r>
      <w:r w:rsidR="00200BB8">
        <w:rPr>
          <w:sz w:val="26"/>
          <w:szCs w:val="26"/>
        </w:rPr>
        <w:t>, che</w:t>
      </w:r>
      <w:r w:rsidR="00200BB8" w:rsidRPr="00200BB8">
        <w:rPr>
          <w:sz w:val="26"/>
          <w:szCs w:val="26"/>
        </w:rPr>
        <w:t xml:space="preserve"> potranno stabilire le modalità in termini di tempi e livelli di adeguamento alle nuove specifiche dei sottosistemi ferroviari esistenti, contrariamente </w:t>
      </w:r>
      <w:r w:rsidR="00200BB8">
        <w:rPr>
          <w:sz w:val="26"/>
          <w:szCs w:val="26"/>
        </w:rPr>
        <w:t>all'</w:t>
      </w:r>
      <w:r w:rsidR="00200BB8" w:rsidRPr="00200BB8">
        <w:rPr>
          <w:sz w:val="26"/>
          <w:szCs w:val="26"/>
        </w:rPr>
        <w:t xml:space="preserve">impostazione consolidata che le nuove STI erano applicabili solo per il nuovo, il ristrutturato o il rinnovato. </w:t>
      </w:r>
      <w:r w:rsidR="00200BB8">
        <w:rPr>
          <w:sz w:val="26"/>
          <w:szCs w:val="26"/>
        </w:rPr>
        <w:t xml:space="preserve">Si osserva </w:t>
      </w:r>
      <w:r w:rsidR="001D3763">
        <w:rPr>
          <w:sz w:val="26"/>
          <w:szCs w:val="26"/>
        </w:rPr>
        <w:t xml:space="preserve">inoltre </w:t>
      </w:r>
      <w:r w:rsidR="00200BB8">
        <w:rPr>
          <w:sz w:val="26"/>
          <w:szCs w:val="26"/>
        </w:rPr>
        <w:t>che t</w:t>
      </w:r>
      <w:r w:rsidR="00200BB8" w:rsidRPr="00200BB8">
        <w:rPr>
          <w:sz w:val="26"/>
          <w:szCs w:val="26"/>
        </w:rPr>
        <w:t xml:space="preserve">ale circostanza </w:t>
      </w:r>
      <w:r w:rsidR="00200BB8">
        <w:rPr>
          <w:sz w:val="26"/>
          <w:szCs w:val="26"/>
        </w:rPr>
        <w:t>potrebbe</w:t>
      </w:r>
      <w:r w:rsidR="00200BB8" w:rsidRPr="00200BB8">
        <w:rPr>
          <w:sz w:val="26"/>
          <w:szCs w:val="26"/>
        </w:rPr>
        <w:t xml:space="preserve"> determinare costi al momento non valutabili.</w:t>
      </w:r>
    </w:p>
    <w:sectPr w:rsidR="00200BB8" w:rsidRPr="00AB70AB" w:rsidSect="00AA2F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FE" w:rsidRDefault="008838FE" w:rsidP="003A64A2">
      <w:r>
        <w:separator/>
      </w:r>
    </w:p>
  </w:endnote>
  <w:endnote w:type="continuationSeparator" w:id="0">
    <w:p w:rsidR="008838FE" w:rsidRDefault="008838FE" w:rsidP="003A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A0" w:rsidRDefault="00332BA0" w:rsidP="00332BA0">
    <w:pPr>
      <w:pStyle w:val="Pidipagina"/>
      <w:spacing w:after="120"/>
    </w:pPr>
    <w:r>
      <w:t>___________________________</w:t>
    </w:r>
  </w:p>
  <w:p w:rsidR="00332BA0" w:rsidRDefault="00332BA0" w:rsidP="00332BA0">
    <w:pPr>
      <w:pStyle w:val="Pidipagina"/>
    </w:pPr>
    <w:r>
      <w:t>Al Presidente</w:t>
    </w:r>
  </w:p>
  <w:p w:rsidR="00332BA0" w:rsidRDefault="00332BA0" w:rsidP="00332BA0">
    <w:pPr>
      <w:pStyle w:val="Pidipagina"/>
    </w:pPr>
    <w:r>
      <w:t>della 8</w:t>
    </w:r>
    <w:r w:rsidRPr="00AC289D">
      <w:rPr>
        <w:vertAlign w:val="superscript"/>
      </w:rPr>
      <w:t>a</w:t>
    </w:r>
    <w:r>
      <w:t xml:space="preserve"> Commissione permanente </w:t>
    </w:r>
  </w:p>
  <w:p w:rsidR="00332BA0" w:rsidRDefault="00332BA0" w:rsidP="00332BA0">
    <w:pPr>
      <w:pStyle w:val="Pidipagina"/>
    </w:pPr>
    <w:r>
      <w:t>S E D E</w:t>
    </w:r>
  </w:p>
  <w:p w:rsidR="00332BA0" w:rsidRDefault="00332BA0" w:rsidP="00332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FE" w:rsidRDefault="008838FE" w:rsidP="003A64A2">
      <w:r>
        <w:separator/>
      </w:r>
    </w:p>
  </w:footnote>
  <w:footnote w:type="continuationSeparator" w:id="0">
    <w:p w:rsidR="008838FE" w:rsidRDefault="008838FE" w:rsidP="003A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A43"/>
    <w:multiLevelType w:val="hybridMultilevel"/>
    <w:tmpl w:val="CE4A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3058"/>
    <w:multiLevelType w:val="hybridMultilevel"/>
    <w:tmpl w:val="B8AA0638"/>
    <w:lvl w:ilvl="0" w:tplc="DCF2E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C9"/>
    <w:rsid w:val="00067A59"/>
    <w:rsid w:val="000D7143"/>
    <w:rsid w:val="0010335A"/>
    <w:rsid w:val="00133E02"/>
    <w:rsid w:val="0017674C"/>
    <w:rsid w:val="00180091"/>
    <w:rsid w:val="001D3763"/>
    <w:rsid w:val="001F0D8F"/>
    <w:rsid w:val="00200BB8"/>
    <w:rsid w:val="002062B3"/>
    <w:rsid w:val="002344DF"/>
    <w:rsid w:val="002501F4"/>
    <w:rsid w:val="00257E63"/>
    <w:rsid w:val="00260DCD"/>
    <w:rsid w:val="00292332"/>
    <w:rsid w:val="00296E66"/>
    <w:rsid w:val="002B4392"/>
    <w:rsid w:val="002D6BB3"/>
    <w:rsid w:val="002E7FE3"/>
    <w:rsid w:val="002F66A2"/>
    <w:rsid w:val="00332BA0"/>
    <w:rsid w:val="003460F8"/>
    <w:rsid w:val="003A64A2"/>
    <w:rsid w:val="00447F1E"/>
    <w:rsid w:val="004C1E14"/>
    <w:rsid w:val="00501476"/>
    <w:rsid w:val="005307C2"/>
    <w:rsid w:val="00535D28"/>
    <w:rsid w:val="005451E7"/>
    <w:rsid w:val="0054702D"/>
    <w:rsid w:val="005B0F2F"/>
    <w:rsid w:val="005E1C84"/>
    <w:rsid w:val="00601E56"/>
    <w:rsid w:val="006A00ED"/>
    <w:rsid w:val="00707EBA"/>
    <w:rsid w:val="00735E9E"/>
    <w:rsid w:val="007A0EF9"/>
    <w:rsid w:val="007B5AC9"/>
    <w:rsid w:val="007F4B73"/>
    <w:rsid w:val="008204FF"/>
    <w:rsid w:val="008838FE"/>
    <w:rsid w:val="00897091"/>
    <w:rsid w:val="00954D71"/>
    <w:rsid w:val="00A061A5"/>
    <w:rsid w:val="00A24236"/>
    <w:rsid w:val="00A53FDB"/>
    <w:rsid w:val="00A552A1"/>
    <w:rsid w:val="00A90905"/>
    <w:rsid w:val="00AB70AB"/>
    <w:rsid w:val="00B24989"/>
    <w:rsid w:val="00BC66B2"/>
    <w:rsid w:val="00C31F09"/>
    <w:rsid w:val="00C6696A"/>
    <w:rsid w:val="00C87E65"/>
    <w:rsid w:val="00C92C1E"/>
    <w:rsid w:val="00CC7BB2"/>
    <w:rsid w:val="00D0274B"/>
    <w:rsid w:val="00D4731E"/>
    <w:rsid w:val="00DC2E32"/>
    <w:rsid w:val="00DD13D2"/>
    <w:rsid w:val="00E13D20"/>
    <w:rsid w:val="00E65FB8"/>
    <w:rsid w:val="00E827AF"/>
    <w:rsid w:val="00EE0DFA"/>
    <w:rsid w:val="00F70119"/>
    <w:rsid w:val="00F86BAD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64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64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64A2"/>
    <w:rPr>
      <w:shd w:val="clear" w:color="auto" w:fill="auto"/>
      <w:vertAlign w:val="superscript"/>
    </w:rPr>
  </w:style>
  <w:style w:type="paragraph" w:styleId="Paragrafoelenco">
    <w:name w:val="List Paragraph"/>
    <w:basedOn w:val="Normale"/>
    <w:uiPriority w:val="34"/>
    <w:qFormat/>
    <w:rsid w:val="00257E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57E6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2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2B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32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2B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3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DIFELICE</dc:creator>
  <cp:lastModifiedBy>BAIOCCHIF</cp:lastModifiedBy>
  <cp:revision>3</cp:revision>
  <cp:lastPrinted>2013-12-18T08:22:00Z</cp:lastPrinted>
  <dcterms:created xsi:type="dcterms:W3CDTF">2013-12-17T15:17:00Z</dcterms:created>
  <dcterms:modified xsi:type="dcterms:W3CDTF">2013-12-18T08:22:00Z</dcterms:modified>
</cp:coreProperties>
</file>